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D0003" w14:textId="77777777" w:rsidR="00C94C31" w:rsidRPr="007315ED" w:rsidRDefault="00C94C31" w:rsidP="007315ED">
      <w:pPr>
        <w:spacing w:after="0" w:line="240" w:lineRule="auto"/>
        <w:rPr>
          <w:rFonts w:ascii="Arial" w:hAnsi="Arial" w:cs="Arial"/>
          <w:color w:val="003043"/>
          <w:sz w:val="26"/>
          <w:szCs w:val="26"/>
        </w:rPr>
      </w:pPr>
    </w:p>
    <w:p w14:paraId="5046284A" w14:textId="13947DF1" w:rsidR="00C94C31" w:rsidRPr="00603FC8" w:rsidRDefault="00C94C31" w:rsidP="007315ED">
      <w:pPr>
        <w:spacing w:after="0" w:line="240" w:lineRule="auto"/>
        <w:jc w:val="center"/>
        <w:rPr>
          <w:rFonts w:ascii="Arial" w:hAnsi="Arial" w:cs="Arial"/>
          <w:b/>
          <w:bCs/>
          <w:color w:val="003043"/>
          <w:sz w:val="44"/>
          <w:szCs w:val="44"/>
        </w:rPr>
      </w:pPr>
      <w:r>
        <w:rPr>
          <w:rFonts w:ascii="Arial" w:hAnsi="Arial" w:cs="Arial"/>
          <w:b/>
          <w:bCs/>
          <w:color w:val="003043"/>
          <w:sz w:val="44"/>
          <w:szCs w:val="44"/>
        </w:rPr>
        <w:t>Drug Development Director Interview Question Bank</w:t>
      </w:r>
    </w:p>
    <w:p>
      <w:pPr>
        <w:rPr>
          <w:rFonts w:ascii="Arial" w:hAnsi="Arial" w:cs="Arial"/>
          <w:color w:val="003043"/>
          <w:sz w:val="26"/>
          <w:szCs w:val="26"/>
        </w:rPr>
      </w:pPr>
    </w:p>
    <w:p w14:paraId="26519B59" w14:textId="77777777" w:rsidR="00603FC8" w:rsidRPr="004136F1" w:rsidRDefault="00603FC8" w:rsidP="00603FC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23C17402" w14:textId="6BB13B91" w:rsidR="00603FC8" w:rsidRDefault="00603FC8" w:rsidP="00603FC8">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2E317B91" w14:textId="77777777" w:rsidR="00C94C31" w:rsidRPr="007315ED" w:rsidRDefault="00C94C31" w:rsidP="007315ED">
      <w:pPr>
        <w:spacing w:after="0" w:line="240" w:lineRule="auto"/>
        <w:rPr>
          <w:rFonts w:ascii="Arial" w:hAnsi="Arial" w:cs="Arial"/>
          <w:color w:val="003043"/>
          <w:sz w:val="26"/>
          <w:szCs w:val="26"/>
        </w:rPr>
      </w:pPr>
    </w:p>
    <w:p w14:paraId="3B5E2817" w14:textId="10E301C9" w:rsidR="00C94C31" w:rsidRPr="00603FC8"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2634DFF6" w14:textId="77777777" w:rsidR="00C94C31" w:rsidRPr="007315ED" w:rsidRDefault="00C94C31" w:rsidP="007315ED">
      <w:pPr>
        <w:spacing w:after="0" w:line="240" w:lineRule="auto"/>
        <w:rPr>
          <w:rFonts w:ascii="Arial" w:hAnsi="Arial" w:cs="Arial"/>
          <w:color w:val="003043"/>
          <w:sz w:val="26"/>
          <w:szCs w:val="26"/>
        </w:rPr>
      </w:pPr>
    </w:p>
    <w:p w14:paraId="55809F88" w14:textId="77777777" w:rsidR="00C94C31" w:rsidRPr="00067964" w:rsidRDefault="00C94C31" w:rsidP="007315ED">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Drug Development Director job description: formulation &amp; process development strategy, CMC &amp; regulatory oversight, technology transfer &amp; manufacturing support, external partner management, team &amp; project leadership, and cross-functional partnership. It closes with questions on qualifications/experience fit and a short set of closing questions for the candidate.</w:t>
      </w:r>
    </w:p>
    <w:p w14:paraId="427502F7" w14:textId="77777777" w:rsidR="00C94C31" w:rsidRPr="00067964" w:rsidRDefault="00C94C31" w:rsidP="007315ED">
      <w:pPr>
        <w:spacing w:after="0" w:line="240" w:lineRule="auto"/>
        <w:rPr>
          <w:rFonts w:ascii="Arial" w:hAnsi="Arial" w:cs="Arial"/>
          <w:color w:val="003043"/>
          <w:sz w:val="26"/>
          <w:szCs w:val="26"/>
        </w:rPr>
      </w:pPr>
    </w:p>
    <w:p w14:paraId="1DFFA06A" w14:textId="435D8ADD" w:rsidR="00C94C31" w:rsidRPr="00067964" w:rsidRDefault="00C94C31" w:rsidP="007315ED">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5 and 6, while a final-round panel with the CSO, CTO or CEO should weight Sections 2, 3 and 4 more heavily.</w:t>
      </w:r>
    </w:p>
    <w:p w14:paraId="72B9BE73" w14:textId="77777777" w:rsidR="00C94C31" w:rsidRPr="007315ED" w:rsidRDefault="00C94C31" w:rsidP="007315ED">
      <w:pPr>
        <w:spacing w:after="0" w:line="240" w:lineRule="auto"/>
        <w:rPr>
          <w:rFonts w:ascii="Arial" w:hAnsi="Arial" w:cs="Arial"/>
          <w:color w:val="003043"/>
          <w:sz w:val="26"/>
          <w:szCs w:val="26"/>
        </w:rPr>
      </w:pPr>
    </w:p>
    <w:p w14:paraId="6D60F04E" w14:textId="511675A9" w:rsidR="00C94C31" w:rsidRPr="00603FC8"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 xml:space="preserve">1. Formulation &amp; Process Development Strategy</w:t>
      </w:r>
    </w:p>
    <w:p w14:paraId="3AEFC005" w14:textId="77777777" w:rsidR="00C94C31" w:rsidRPr="007315ED" w:rsidRDefault="00C94C31" w:rsidP="007315ED">
      <w:pPr>
        <w:spacing w:after="0" w:line="240" w:lineRule="auto"/>
        <w:rPr>
          <w:rFonts w:ascii="Arial" w:hAnsi="Arial" w:cs="Arial"/>
          <w:color w:val="003043"/>
          <w:sz w:val="26"/>
          <w:szCs w:val="26"/>
        </w:rPr>
      </w:pPr>
    </w:p>
    <w:p w14:paraId="1AA65802" w14:textId="6747AD21"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drug development strategy you built or inherited for a major program. What was the single most consequential scientific judgment call you made (e.g., selecting a formulation route, defining a control strategy, or scaling a process), and how did you reach that decision when the data was ambiguous?</w:t>
      </w:r>
    </w:p>
    <w:p w14:paraId="44ECE02F" w14:textId="4A4DAFC5"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scientific decision rather than a generic framework. Evidence of weighing scientific rigor against timeline or budget pressure. Comfort articulating the scientific reasoning, including the trade-offs and risks, not just the outcome.</w:t>
      </w:r>
    </w:p>
    <w:p w14:paraId="0766769C" w14:textId="6F43F71A"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Tell me about a time you applied Quality by Design (QbD) principles to a development program. How did you identify the Critical Material Attributes (CMAs) and Critical Process Parameters (CPPs), and what was the impact on the final control strategy?</w:t>
      </w:r>
    </w:p>
    <w:p w14:paraId="52B61675" w14:textId="10404044"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practical understanding of QbD (ICH Q8-Q10), not just theoretical knowledge. Evidence of using risk assessment tools (e.g., FMEA, Ishikawa diagrams) and design of experiments (DoE). A clear articulation of how QbD led to a more robust and flexible process.</w:t>
      </w:r>
    </w:p>
    <w:p w14:paraId="402175E6" w14:textId="09B36909"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Walk me through a program where you had to develop a formulation for a challenging molecule (e.g., poorly soluble, unstable, or a biologic). What were the key scientific hurdles, and how did you overcome them?</w:t>
      </w:r>
    </w:p>
    <w:p w14:paraId="5A73D8CD" w14:textId="63387D6F"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Depth of technical knowledge relevant to the organization's product class (e.g., small molecules, biologics, complex formulations). Evidence of creative problem-solving and persistence. Understanding of the relationship between formulation design and manufacturability.</w:t>
      </w:r>
    </w:p>
    <w:p w14:paraId="2951187A" w14:textId="77777777" w:rsidR="00C94C31" w:rsidRPr="007315ED" w:rsidRDefault="00C94C31" w:rsidP="007315ED">
      <w:pPr>
        <w:spacing w:after="0" w:line="240" w:lineRule="auto"/>
        <w:rPr>
          <w:rFonts w:ascii="Arial" w:hAnsi="Arial" w:cs="Arial"/>
          <w:color w:val="003043"/>
          <w:sz w:val="26"/>
          <w:szCs w:val="26"/>
        </w:rPr>
      </w:pPr>
    </w:p>
    <w:p w14:paraId="2418257D" w14:textId="04C1E225" w:rsidR="00C94C31" w:rsidRPr="00022259"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CMC &amp; Regulatory Oversight</w:t>
      </w:r>
    </w:p>
    <w:p w14:paraId="4D62EAC0" w14:textId="77777777" w:rsidR="00C94C31" w:rsidRPr="007315ED" w:rsidRDefault="00C94C31" w:rsidP="007315ED">
      <w:pPr>
        <w:spacing w:after="0" w:line="240" w:lineRule="auto"/>
        <w:rPr>
          <w:rFonts w:ascii="Arial" w:hAnsi="Arial" w:cs="Arial"/>
          <w:color w:val="003043"/>
          <w:sz w:val="26"/>
          <w:szCs w:val="26"/>
        </w:rPr>
      </w:pPr>
    </w:p>
    <w:p w14:paraId="66D4A662" w14:textId="789DB50B"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Describe your experience authoring CMC sections of regulatory submissions (IND, IMPD, NDA, BLA, MAA). Walk me through a specific submission and your personal contribution. What were the key data packages you had to generate and defend?</w:t>
      </w:r>
    </w:p>
    <w:p w14:paraId="22576070" w14:textId="593B71AC"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Precision about their actual contribution versus the broader team's. Familiarity with the submission type relevant to this organization's product class. Understanding of what regulators expect to see in each section (e.g., development history, manufacturing process, control strategy, stability data).</w:t>
      </w:r>
    </w:p>
    <w:p w14:paraId="6F85D397" w14:textId="0C603FC0"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Tell me about a time you received challenging questions from a health authority (FDA, EMA, MHRA) on a CMC submission. How did you coordinate the response, and what was the outcome?</w:t>
      </w:r>
    </w:p>
    <w:p w14:paraId="06848A08" w14:textId="1F7DC15B"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with agency interactions. Evidence of a structured, data-driven approach to responding to queries. The ability to manage multiple internal stakeholders (Regulatory, Quality, Operations) to craft a coherent and defensible response.</w:t>
      </w:r>
    </w:p>
    <w:p w14:paraId="6C63F31A" w14:textId="58846EBB"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How do you design a stability program that is both regulatory-compliant and commercially practical? Walk me through your approach to setting specifications, selecting batches, and defining storage conditions.</w:t>
      </w:r>
    </w:p>
    <w:p w14:paraId="1F48262E" w14:textId="4834D0A9"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Understanding of ICH stability guidelines (Q1A-Q1E). Practical experience with stability study design, including bracketing and matrixing. Awareness of the link between stability data, shelf-life setting, and commercial supply chain logistics.</w:t>
      </w:r>
    </w:p>
    <w:p w14:paraId="0C023CBC" w14:textId="76D6DFEB"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establish product specifications and a control strategy that are robust enough to satisfy regulators but flexible enough to accommodate normal process variability? Give a specific example.</w:t>
      </w:r>
    </w:p>
    <w:p w14:paraId="64F09CA8" w14:textId="60332310"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sophisticated understanding of the relationship between process capability and specification setting. Evidence of using statistical tools (e.g., tolerance intervals) to justify specifications. Understanding of the concept of a "design space" and how it provides regulatory flexibility.</w:t>
      </w:r>
    </w:p>
    <w:p w14:paraId="7DB6C453" w14:textId="77777777" w:rsidR="00C94C31" w:rsidRPr="007315ED" w:rsidRDefault="00C94C31" w:rsidP="007315ED">
      <w:pPr>
        <w:spacing w:after="0" w:line="240" w:lineRule="auto"/>
        <w:rPr>
          <w:rFonts w:ascii="Arial" w:hAnsi="Arial" w:cs="Arial"/>
          <w:color w:val="003043"/>
          <w:sz w:val="26"/>
          <w:szCs w:val="26"/>
        </w:rPr>
      </w:pPr>
    </w:p>
    <w:p w14:paraId="68C1D112" w14:textId="79BD27A5" w:rsidR="00C94C31" w:rsidRPr="00022259"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3. Technology Transfer &amp; Manufacturing Support</w:t>
      </w:r>
    </w:p>
    <w:p w14:paraId="6E7E7E9F" w14:textId="77777777" w:rsidR="00C94C31" w:rsidRPr="007315ED" w:rsidRDefault="00C94C31" w:rsidP="007315ED">
      <w:pPr>
        <w:spacing w:after="0" w:line="240" w:lineRule="auto"/>
        <w:rPr>
          <w:rFonts w:ascii="Arial" w:hAnsi="Arial" w:cs="Arial"/>
          <w:color w:val="003043"/>
          <w:sz w:val="26"/>
          <w:szCs w:val="26"/>
        </w:rPr>
      </w:pPr>
    </w:p>
    <w:p w14:paraId="05CC86DC" w14:textId="607E32E7"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Walk me through a technology transfer you led — either to an internal site or to an external CDMO. What was your role, what were the biggest challenges, and how did you ensure a successful outcome?</w:t>
      </w:r>
    </w:p>
    <w:p w14:paraId="4B4A50B0" w14:textId="50047570"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rPr>
        <w:t xml:space="preserve"> </w:t>
      </w:r>
      <w:r>
        <w:rPr>
          <w:rFonts w:ascii="Arial" w:hAnsi="Arial" w:cs="Arial"/>
          <w:color w:val="003043"/>
          <w:sz w:val="26"/>
          <w:szCs w:val="26"/>
          <w:i/>
          <w:iCs/>
        </w:rPr>
        <w:t>A structured approach to tech transfer (e.g., planning, risk assessment, knowledge transfer, engineering runs, process performance qualification). Evidence of practical "hands-on" experience, including being present on the manufacturing floor. An understanding of the documentation required for a seamless transfer.</w:t>
      </w:r>
      <w:r>
        <w:rPr>
          <w:rFonts w:ascii="Arial" w:hAnsi="Arial" w:cs="Arial"/>
          <w:color w:val="003043"/>
          <w:sz w:val="26"/>
          <w:szCs w:val="26"/>
        </w:rPr>
        <w:t xml:space="preserve"/>
      </w:r>
    </w:p>
    <w:p w14:paraId="7679DB41" w14:textId="6C7C0D71"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Tell me about a significant process-related issue that arose during clinical trial material (CTM) manufacturing or a registration batch. How did you troubleshoot it, and what did you learn from the experience?</w:t>
      </w:r>
    </w:p>
    <w:p w14:paraId="318E5A0E" w14:textId="22E8F111"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Real-world problem-solving under pressure. A calm, structured approach to troubleshooting (e.g., gathering data, isolating variables, root cause analysis). Evidence of collaboration with Operations and Quality to resolve the issue without compromising product quality or timelines.</w:t>
      </w:r>
    </w:p>
    <w:p w14:paraId="4F3C8435" w14:textId="7C385A34"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How do you ensure that a process developed at a small scale will be successful at commercial scale? Describe your approach to scale-up and process characterization.</w:t>
      </w:r>
    </w:p>
    <w:p w14:paraId="69D714F2" w14:textId="280030DA"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understanding of scale-up principles and the challenges of moving from lab to pilot to commercial scale. Evidence of using scale-down models or other predictive tools. A pragmatic approach to identifying and mitigating scale-up risks.</w:t>
      </w:r>
    </w:p>
    <w:p w14:paraId="7B4B7C0D" w14:textId="77777777" w:rsidR="00C94C31" w:rsidRPr="00067964" w:rsidRDefault="00C94C31" w:rsidP="007315ED">
      <w:pPr>
        <w:spacing w:after="0" w:line="240" w:lineRule="auto"/>
        <w:rPr>
          <w:rFonts w:ascii="Arial" w:hAnsi="Arial" w:cs="Arial"/>
          <w:color w:val="003043"/>
          <w:sz w:val="26"/>
          <w:szCs w:val="26"/>
        </w:rPr>
      </w:pPr>
    </w:p>
    <w:p w14:paraId="46BCC369" w14:textId="239297D0" w:rsidR="00C94C31" w:rsidRPr="00022259"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 xml:space="preserve">4. External Partner Management (CDMOs/CROs)</w:t>
      </w:r>
    </w:p>
    <w:p w14:paraId="52A178AC" w14:textId="77777777" w:rsidR="00C94C31" w:rsidRPr="007315ED" w:rsidRDefault="00C94C31" w:rsidP="007315ED">
      <w:pPr>
        <w:spacing w:after="0" w:line="240" w:lineRule="auto"/>
        <w:rPr>
          <w:rFonts w:ascii="Arial" w:hAnsi="Arial" w:cs="Arial"/>
          <w:color w:val="003043"/>
          <w:sz w:val="26"/>
          <w:szCs w:val="26"/>
        </w:rPr>
      </w:pPr>
    </w:p>
    <w:p w14:paraId="179F3D0C" w14:textId="5AEC6E23"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Describe your approach to selecting and managing an external CDMO for a development program. What criteria do you use to select a partner, and how do you oversee their performance once they are engaged?</w:t>
      </w:r>
    </w:p>
    <w:p w14:paraId="36AE1C28" w14:textId="1709603D"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clear framework for CDMO selection (e.g., technical capabilities, regulatory track record, capacity, cultural fit). Evidence of managing the full lifecycle of a CDMO relationship, from RFP to contract negotiation to performance oversight. A collaborative, not adversarial, approach to the partnership.</w:t>
      </w:r>
    </w:p>
    <w:p w14:paraId="166FAFB6" w14:textId="4610B6F6"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Tell me about a time an external CDMO or CRO was underperforming or missed a critical milestone. How did you handle it, and what was the outcome?</w:t>
      </w:r>
    </w:p>
    <w:p w14:paraId="095D4216" w14:textId="0F1D9B4C"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ownership of the external relationship. Evidence of setting clear expectations, monitoring performance, and taking corrective action when needed. Diplomacy balanced with a willingness to enforce contractual obligations or, if necessary, terminate the relationship.</w:t>
      </w:r>
    </w:p>
    <w:p w14:paraId="416AC5E3" w14:textId="527CD3A9" w:rsidR="00C94C31" w:rsidRPr="00067964"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How do you manage the technical aspects of a contract with an external CDMO to ensure the scope of work is clear, the budget is controlled, and the intellectual property is protected?</w:t>
      </w:r>
    </w:p>
    <w:p w14:paraId="1B531545" w14:textId="39167F1D" w:rsidR="00C94C31" w:rsidRPr="00067964"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Understanding of the commercial and legal aspects of CDMO contracts. Evidence of developing detailed technical scopes of work (SOWs). Awareness of IP protection strategies (e.g., material transfer agreements, confidentiality provisions).</w:t>
      </w:r>
    </w:p>
    <w:p w14:paraId="5D63B355" w14:textId="77777777" w:rsidR="00C94C31" w:rsidRPr="005C07CB" w:rsidRDefault="00C94C31" w:rsidP="007315ED">
      <w:pPr>
        <w:spacing w:after="0" w:line="240" w:lineRule="auto"/>
        <w:rPr>
          <w:rFonts w:ascii="Arial" w:hAnsi="Arial" w:cs="Arial"/>
          <w:color w:val="003043"/>
          <w:sz w:val="26"/>
          <w:szCs w:val="26"/>
        </w:rPr>
      </w:pPr>
    </w:p>
    <w:p w14:paraId="45B5C267" w14:textId="4FAD88C9" w:rsidR="00C94C31" w:rsidRPr="00022259"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 xml:space="preserve">5. Team &amp; Project Leadership</w:t>
      </w:r>
    </w:p>
    <w:p w14:paraId="68EFC68D" w14:textId="77777777" w:rsidR="00C94C31" w:rsidRPr="007315ED" w:rsidRDefault="00C94C31" w:rsidP="007315ED">
      <w:pPr>
        <w:spacing w:after="0" w:line="240" w:lineRule="auto"/>
        <w:rPr>
          <w:rFonts w:ascii="Arial" w:hAnsi="Arial" w:cs="Arial"/>
          <w:color w:val="003043"/>
          <w:sz w:val="26"/>
          <w:szCs w:val="26"/>
        </w:rPr>
      </w:pPr>
    </w:p>
    <w:p w14:paraId="51A106F5" w14:textId="40C17D1B"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Tell me about the scientific team you inherited or built. What did you change about the team structure, the development processes, or the scientific culture, and what does the succession plan look like for your direct reports?</w:t>
      </w:r>
    </w:p>
    <w:p w14:paraId="4BEB64CF" w14:textId="5E3F3E59"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scientific organization. A focus on developing talent and creating career paths for scientists. Honesty about what remained unfinished. An ability to name and describe the development of specific individuals.</w:t>
      </w:r>
    </w:p>
    <w:p w14:paraId="0127B0FE" w14:textId="393CEC56"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mentor scientists who are strong technically but need to develop as project leaders, people managers, or scientific communicators?</w:t>
      </w:r>
    </w:p>
    <w:p w14:paraId="0C8E4871" w14:textId="47807EB1"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development approach (e.g., mentoring, coaching, assignment of stretch projects, formal training, presenting at internal or external forums). Examples of specific individuals they have grown into more senior roles.</w:t>
      </w:r>
    </w:p>
    <w:p w14:paraId="79F4CD08" w14:textId="14CB4920"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Describe your approach to managing a multidisciplinary team (e.g., formulation, process development, analytical) to meet aggressive program timelines. How do you balance the need for scientific rigor with the pressure to deliver quickly?</w:t>
      </w:r>
    </w:p>
    <w:p w14:paraId="7800BB05" w14:textId="38AC3A5B"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project management skills. Evidence of resource planning, timeline management, and risk mitigation. A leadership style that empowers scientists while maintaining accountability for results.</w:t>
      </w:r>
    </w:p>
    <w:p w14:paraId="4F13A773" w14:textId="77777777" w:rsidR="00C94C31" w:rsidRPr="005C07CB" w:rsidRDefault="00C94C31" w:rsidP="007315ED">
      <w:pPr>
        <w:spacing w:after="0" w:line="240" w:lineRule="auto"/>
        <w:rPr>
          <w:rFonts w:ascii="Arial" w:hAnsi="Arial" w:cs="Arial"/>
          <w:color w:val="003043"/>
          <w:sz w:val="26"/>
          <w:szCs w:val="26"/>
        </w:rPr>
      </w:pPr>
    </w:p>
    <w:p w14:paraId="4EDBBE00" w14:textId="2C42C588" w:rsidR="00C94C31" w:rsidRPr="00EA08F5"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Cross-Functional Partnership</w:t>
      </w:r>
    </w:p>
    <w:p w14:paraId="5F14DCEA" w14:textId="77777777" w:rsidR="00C94C31" w:rsidRPr="007315ED" w:rsidRDefault="00C94C31" w:rsidP="007315ED">
      <w:pPr>
        <w:spacing w:after="0" w:line="240" w:lineRule="auto"/>
        <w:rPr>
          <w:rFonts w:ascii="Arial" w:hAnsi="Arial" w:cs="Arial"/>
          <w:color w:val="003043"/>
          <w:sz w:val="26"/>
          <w:szCs w:val="26"/>
        </w:rPr>
      </w:pPr>
    </w:p>
    <w:p w14:paraId="3E6BF1D2" w14:textId="3AABAA18"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Describe a significant disagreement with a peer executive, Quality, Regulatory, Operations, or Commercial, over a drug development decision. How was it resolved, and what was the relationship like afterward?</w:t>
      </w:r>
    </w:p>
    <w:p w14:paraId="120A5AE5" w14:textId="7FA5D85D"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Drug Development Director simply prevailed. Evidence of strong communication, negotiation, and influence skills. A focus on finding a solution that balanced scientific integrity with business and regulatory realities. Evidence of a preserved or repaired working relationship.</w:t>
      </w:r>
    </w:p>
    <w:p w14:paraId="6B9EE1B2" w14:textId="63D1072F"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partner with Analytical Development to ensure that your formulation and process development activities are supported by fit-for-purpose analytical methods? Give a specific example of how you've made this partnership effective.</w:t>
      </w:r>
    </w:p>
    <w:p w14:paraId="02D68B32" w14:textId="1F2EA066"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siloed, approach to analytical development. Understanding of the importance of developing methods in parallel with the formulation and process. Evidence of integrating analytical data into decision-making.</w:t>
      </w:r>
    </w:p>
    <w:p w14:paraId="44C4F5E6" w14:textId="7C133A74"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How do you engage with the Commercial team to ensure that the product you are developing is not only technically feasible but also commercially viable and manufacturable at cost?</w:t>
      </w:r>
    </w:p>
    <w:p w14:paraId="348FB616" w14:textId="51AF5E34"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commercial mindset, not just a scientific one. Understanding of the link between process design, cost of goods, and market access. Evidence of proactively seeking commercial input on target product profiles and manufacturing cost targets.</w:t>
      </w:r>
    </w:p>
    <w:p w14:paraId="0849482E" w14:textId="77777777" w:rsidR="00C94C31" w:rsidRPr="007315ED" w:rsidRDefault="00C94C31" w:rsidP="007315ED">
      <w:pPr>
        <w:spacing w:after="0" w:line="240" w:lineRule="auto"/>
        <w:rPr>
          <w:rFonts w:ascii="Arial" w:hAnsi="Arial" w:cs="Arial"/>
          <w:color w:val="003043"/>
          <w:sz w:val="26"/>
          <w:szCs w:val="26"/>
        </w:rPr>
      </w:pPr>
    </w:p>
    <w:p w14:paraId="60732298" w14:textId="000A27C0" w:rsidR="00C94C31" w:rsidRPr="00EA08F5"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3C030DDE" w14:textId="77777777" w:rsidR="00C94C31" w:rsidRPr="005C07CB" w:rsidRDefault="00C94C31" w:rsidP="007315ED">
      <w:pPr>
        <w:spacing w:after="0" w:line="240" w:lineRule="auto"/>
        <w:rPr>
          <w:rFonts w:ascii="Arial" w:hAnsi="Arial" w:cs="Arial"/>
          <w:b/>
          <w:bCs/>
          <w:color w:val="003043"/>
          <w:sz w:val="26"/>
          <w:szCs w:val="26"/>
        </w:rPr>
      </w:pPr>
    </w:p>
    <w:p w14:paraId="5C37BFA9" w14:textId="0A421C9D"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This role requires deep technical expertise in drug development, combined with the ability to manage external partners and navigate regulatory complexities. What in your background makes you confident you can operate at this level, and where do you expect the learning curve to be steepest?</w:t>
      </w:r>
    </w:p>
    <w:p w14:paraId="338F7DCA" w14:textId="28A5E8D2"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product class and development stage. A clear-eyed view of the specific challenges of the role.</w:t>
      </w:r>
    </w:p>
    <w:p w14:paraId="0BF2FF69" w14:textId="09F58BD9"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Why are you interested in this organization and this specific Drug Development Director mandate, and why at this point in your career?</w:t>
      </w:r>
    </w:p>
    <w:p w14:paraId="3886F256" w14:textId="6A6E43D0"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development pipeline, culture) rather than generic ambition. A clear articulation of why their personal values and career goals align with the company's mission and the challenges of this position.</w:t>
      </w:r>
    </w:p>
    <w:p w14:paraId="550A4E54" w14:textId="44B1CCB4" w:rsidR="00C94C31" w:rsidRPr="005C07CB" w:rsidRDefault="00C94C31" w:rsidP="007315ED">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What would you need from the CSO, CEO, and the executive team in your first six months to be effective in this role, and what would you consider a realistic marker of success at the one-year mark?</w:t>
      </w:r>
    </w:p>
    <w:p w14:paraId="4C85C427" w14:textId="1FAB8CE2" w:rsidR="00C94C31"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portfolio pipeline and prioritization criteria," or "I need a clear view of our existing CDMO relationships and performance"). A measurable, appropriately scoped definition of early success (e.g., "advancing one program to the next clinical milestone," "successfully completing a tech transfer," or "building a 12-month development roadmap for the portfolio").</w:t>
      </w:r>
    </w:p>
    <w:p w14:paraId="42C2EC87" w14:textId="77777777" w:rsidR="00C94C31" w:rsidRPr="005C07CB" w:rsidRDefault="00C94C31" w:rsidP="007315ED">
      <w:pPr>
        <w:spacing w:after="0" w:line="240" w:lineRule="auto"/>
        <w:rPr>
          <w:rFonts w:ascii="Arial" w:hAnsi="Arial" w:cs="Arial"/>
          <w:color w:val="003043"/>
          <w:sz w:val="26"/>
          <w:szCs w:val="26"/>
        </w:rPr>
      </w:pPr>
    </w:p>
    <w:p w14:paraId="32428B48" w14:textId="76D2F7DA" w:rsidR="00C94C31" w:rsidRPr="00EA08F5" w:rsidRDefault="00C94C31" w:rsidP="007315ED">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3DE6156F" w14:textId="77777777" w:rsidR="00C94C31" w:rsidRPr="007315ED" w:rsidRDefault="00C94C31" w:rsidP="007315ED">
      <w:pPr>
        <w:spacing w:after="0" w:line="240" w:lineRule="auto"/>
        <w:rPr>
          <w:rFonts w:ascii="Arial" w:hAnsi="Arial" w:cs="Arial"/>
          <w:color w:val="003043"/>
          <w:sz w:val="26"/>
          <w:szCs w:val="26"/>
        </w:rPr>
      </w:pPr>
    </w:p>
    <w:p w14:paraId="3ED119B8" w14:textId="77777777" w:rsidR="00C94C31" w:rsidRPr="005C07CB" w:rsidRDefault="00C94C31" w:rsidP="007315ED">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76D46BE0" w14:textId="77777777" w:rsidR="00C94C31" w:rsidRPr="005C07CB" w:rsidRDefault="00C94C31" w:rsidP="007315ED">
      <w:pPr>
        <w:spacing w:after="0" w:line="240" w:lineRule="auto"/>
        <w:rPr>
          <w:rFonts w:ascii="Arial" w:hAnsi="Arial" w:cs="Arial"/>
          <w:color w:val="003043"/>
          <w:sz w:val="26"/>
          <w:szCs w:val="26"/>
        </w:rPr>
      </w:pPr>
    </w:p>
    <w:p w14:paraId="4E3B6DE1" w14:textId="38B7567C"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current development portfolio (pipeline stage, therapeutic areas, modalities) and the key scientific challenges facing the team.</w:t>
      </w:r>
    </w:p>
    <w:p w14:paraId="052530E3" w14:textId="74FF0476"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R&amp;D, Quality, and Operations, specifically, where past friction has occurred and how it has been resolved.</w:t>
      </w:r>
    </w:p>
    <w:p w14:paraId="3A54CA72" w14:textId="419EFC1C"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track record with regulatory submissions (successes and challenges) and its current regulatory standing with major agencies.</w:t>
      </w:r>
    </w:p>
    <w:p w14:paraId="0178840C" w14:textId="5ED2E032"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external development (CDMO selection criteria, performance management, and budget).</w:t>
      </w:r>
    </w:p>
    <w:p w14:paraId="35DCCDB5" w14:textId="3BDFB41A"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Team composition, vacancies, and any recent turnover in the development organization, and the root causes for that turnover.</w:t>
      </w:r>
    </w:p>
    <w:p w14:paraId="251D77FB" w14:textId="61D3476A" w:rsidR="00C94C31" w:rsidRPr="005C07CB" w:rsidRDefault="00C94C31" w:rsidP="007315ED">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long-term vision for its pipeline and its investment appetite for new capabilities, technologies, or therapeutic areas.</w:t>
      </w:r>
    </w:p>
    <w:p w14:paraId="7690ACA0" w14:textId="77777777" w:rsidR="00C94C31" w:rsidRPr="005C07CB" w:rsidRDefault="00C94C31" w:rsidP="007315ED">
      <w:pPr>
        <w:spacing w:after="0" w:line="240" w:lineRule="auto"/>
        <w:rPr>
          <w:rFonts w:ascii="Arial" w:hAnsi="Arial" w:cs="Arial"/>
          <w:color w:val="003043"/>
          <w:sz w:val="26"/>
          <w:szCs w:val="26"/>
        </w:rPr>
      </w:pPr>
    </w:p>
    <w:p w14:paraId="602002CC" w14:textId="5F3994D1" w:rsidR="00EC2622" w:rsidRPr="005C07CB" w:rsidRDefault="00C94C31" w:rsidP="007315ED">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4 to reflect whether this organization focuses on small molecules, biologics, or complex formulations.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Drug Development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5C07CB">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269DF"/>
    <w:multiLevelType w:val="hybridMultilevel"/>
    <w:tmpl w:val="A1E2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1233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C31"/>
    <w:rsid w:val="00022259"/>
    <w:rsid w:val="00067964"/>
    <w:rsid w:val="003307AF"/>
    <w:rsid w:val="00351102"/>
    <w:rsid w:val="004F1E6C"/>
    <w:rsid w:val="005C07CB"/>
    <w:rsid w:val="00603FC8"/>
    <w:rsid w:val="007315ED"/>
    <w:rsid w:val="008A77F6"/>
    <w:rsid w:val="00C20AA2"/>
    <w:rsid w:val="00C94C31"/>
    <w:rsid w:val="00EA08F5"/>
    <w:rsid w:val="00EC2622"/>
    <w:rsid w:val="00FE5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A33E"/>
  <w15:chartTrackingRefBased/>
  <w15:docId w15:val="{86F2F83C-D934-46C5-A2EE-0F597C06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C31"/>
    <w:rPr>
      <w:rFonts w:eastAsiaTheme="majorEastAsia" w:cstheme="majorBidi"/>
      <w:color w:val="272727" w:themeColor="text1" w:themeTint="D8"/>
    </w:rPr>
  </w:style>
  <w:style w:type="paragraph" w:styleId="Title">
    <w:name w:val="Title"/>
    <w:basedOn w:val="Normal"/>
    <w:next w:val="Normal"/>
    <w:link w:val="TitleChar"/>
    <w:uiPriority w:val="10"/>
    <w:qFormat/>
    <w:rsid w:val="00C94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C31"/>
    <w:pPr>
      <w:spacing w:before="160"/>
      <w:jc w:val="center"/>
    </w:pPr>
    <w:rPr>
      <w:i/>
      <w:iCs/>
      <w:color w:val="404040" w:themeColor="text1" w:themeTint="BF"/>
    </w:rPr>
  </w:style>
  <w:style w:type="character" w:customStyle="1" w:styleId="QuoteChar">
    <w:name w:val="Quote Char"/>
    <w:basedOn w:val="DefaultParagraphFont"/>
    <w:link w:val="Quote"/>
    <w:uiPriority w:val="29"/>
    <w:rsid w:val="00C94C31"/>
    <w:rPr>
      <w:i/>
      <w:iCs/>
      <w:color w:val="404040" w:themeColor="text1" w:themeTint="BF"/>
    </w:rPr>
  </w:style>
  <w:style w:type="paragraph" w:styleId="ListParagraph">
    <w:name w:val="List Paragraph"/>
    <w:basedOn w:val="Normal"/>
    <w:uiPriority w:val="34"/>
    <w:qFormat/>
    <w:rsid w:val="00C94C31"/>
    <w:pPr>
      <w:ind w:left="720"/>
      <w:contextualSpacing/>
    </w:pPr>
  </w:style>
  <w:style w:type="character" w:styleId="IntenseEmphasis">
    <w:name w:val="Intense Emphasis"/>
    <w:basedOn w:val="DefaultParagraphFont"/>
    <w:uiPriority w:val="21"/>
    <w:qFormat/>
    <w:rsid w:val="00C94C31"/>
    <w:rPr>
      <w:i/>
      <w:iCs/>
      <w:color w:val="0F4761" w:themeColor="accent1" w:themeShade="BF"/>
    </w:rPr>
  </w:style>
  <w:style w:type="paragraph" w:styleId="IntenseQuote">
    <w:name w:val="Intense Quote"/>
    <w:basedOn w:val="Normal"/>
    <w:next w:val="Normal"/>
    <w:link w:val="IntenseQuoteChar"/>
    <w:uiPriority w:val="30"/>
    <w:qFormat/>
    <w:rsid w:val="00C94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C31"/>
    <w:rPr>
      <w:i/>
      <w:iCs/>
      <w:color w:val="0F4761" w:themeColor="accent1" w:themeShade="BF"/>
    </w:rPr>
  </w:style>
  <w:style w:type="character" w:styleId="IntenseReference">
    <w:name w:val="Intense Reference"/>
    <w:basedOn w:val="DefaultParagraphFont"/>
    <w:uiPriority w:val="32"/>
    <w:qFormat/>
    <w:rsid w:val="00C94C31"/>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9C0506-D386-4181-8251-A71D5F558D0B}"/>
</file>

<file path=customXml/itemProps2.xml><?xml version="1.0" encoding="utf-8"?>
<ds:datastoreItem xmlns:ds="http://schemas.openxmlformats.org/officeDocument/2006/customXml" ds:itemID="{1525FC2D-C1FB-4659-A6CF-E645EAB3B1CE}"/>
</file>

<file path=customXml/itemProps3.xml><?xml version="1.0" encoding="utf-8"?>
<ds:datastoreItem xmlns:ds="http://schemas.openxmlformats.org/officeDocument/2006/customXml" ds:itemID="{C1C1C8E9-2767-404B-A91D-2814A158696C}"/>
</file>

<file path=docProps/app.xml><?xml version="1.0" encoding="utf-8"?>
<Properties xmlns="http://schemas.openxmlformats.org/officeDocument/2006/extended-properties" xmlns:vt="http://schemas.openxmlformats.org/officeDocument/2006/docPropsVTypes">
  <Template>Normal</Template>
  <TotalTime>28</TotalTime>
  <Pages>5</Pages>
  <Words>1973</Words>
  <Characters>11604</Characters>
  <Application>Microsoft Office Word</Application>
  <DocSecurity>0</DocSecurity>
  <Lines>218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9</cp:revision>
  <dcterms:created xsi:type="dcterms:W3CDTF">2026-08-18T16:09:00Z</dcterms:created>
  <dcterms:modified xsi:type="dcterms:W3CDTF">2026-09-04T09:10:00Z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