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5B411" w14:textId="7270D901" w:rsidR="007F42AD" w:rsidRPr="00F70A4A" w:rsidRDefault="009F6CAD" w:rsidP="006C64EC">
      <w:pPr>
        <w:pStyle w:val="Title"/>
        <w:jc w:val="center"/>
        <w:rPr>
          <w:rFonts w:ascii="Arial" w:hAnsi="Arial" w:cs="Arial"/>
          <w:b/>
          <w:bCs/>
          <w:color w:val="003043"/>
          <w:sz w:val="44"/>
          <w:szCs w:val="44"/>
        </w:rPr>
      </w:pPr>
      <w:r>
        <w:rPr>
          <w:rFonts w:ascii="Arial" w:hAnsi="Arial" w:cs="Arial"/>
          <w:b/>
          <w:bCs/>
          <w:color w:val="003043"/>
          <w:sz w:val="44"/>
          <w:szCs w:val="44"/>
        </w:rPr>
        <w:t xml:space="preserve">Chief Medical Officer - Interview Question Bank</w:t>
      </w:r>
    </w:p>
    <w:p>
      <w:pPr>
        <w:rPr>
          <w:rFonts w:ascii="Arial" w:hAnsi="Arial" w:cs="Arial"/>
          <w:color w:val="003043"/>
          <w:sz w:val="26"/>
          <w:szCs w:val="26"/>
        </w:rPr>
      </w:pPr>
    </w:p>
    <w:p w14:paraId="17EFBA92" w14:textId="77777777" w:rsidR="00AE3BD3" w:rsidRPr="00AE3BD3" w:rsidRDefault="00AE3BD3" w:rsidP="00AE3BD3">
      <w:pPr>
        <w:rPr>
          <w:rFonts w:ascii="Arial" w:hAnsi="Arial" w:cs="Arial"/>
          <w:color w:val="003043"/>
          <w:sz w:val="26"/>
          <w:szCs w:val="26"/>
        </w:rPr>
      </w:pPr>
      <w:r>
        <w:rPr>
          <w:rFonts w:ascii="Arial" w:hAnsi="Arial" w:cs="Arial"/>
          <w:color w:val="003043"/>
          <w:sz w:val="26"/>
          <w:szCs w:val="26"/>
          <w:i/>
          <w:iCs/>
        </w:rPr>
        <w:t>Pharmaceutical / Pharmaceutical Manufacturing Organization</w:t>
      </w:r>
    </w:p>
    <w:p w14:paraId="62D53A72" w14:textId="2F98954D" w:rsidR="00AE3BD3" w:rsidRPr="00AE3BD3" w:rsidRDefault="00AE3BD3" w:rsidP="00AE3BD3">
      <w:pPr>
        <w:rPr>
          <w:rFonts w:ascii="Arial" w:hAnsi="Arial" w:cs="Arial"/>
          <w:color w:val="003043"/>
          <w:sz w:val="26"/>
          <w:szCs w:val="26"/>
        </w:rPr>
      </w:pPr>
      <w:r>
        <w:rPr>
          <w:rFonts w:ascii="Arial" w:hAnsi="Arial" w:cs="Arial"/>
          <w:color w:val="003043"/>
          <w:sz w:val="26"/>
          <w:szCs w:val="26"/>
        </w:rPr>
        <w:t xml:space="preserve">Prepared by Executive Recruit - Executive Search Specialists</w:t>
      </w:r>
    </w:p>
    <w:p w14:paraId="4183B09F" w14:textId="77777777" w:rsidR="00803890" w:rsidRDefault="00803890" w:rsidP="006C64EC">
      <w:pPr>
        <w:pStyle w:val="Heading1"/>
        <w:rPr>
          <w:rFonts w:ascii="Arial" w:hAnsi="Arial" w:cs="Arial"/>
          <w:color w:val="003043"/>
          <w:sz w:val="26"/>
          <w:szCs w:val="26"/>
        </w:rPr>
      </w:pPr>
    </w:p>
    <w:p w14:paraId="30AE4B7B" w14:textId="488C180E" w:rsidR="007F42AD" w:rsidRPr="00AE3BD3" w:rsidRDefault="009F6CAD" w:rsidP="006C64EC">
      <w:pPr>
        <w:pStyle w:val="Heading1"/>
        <w:rPr>
          <w:rFonts w:ascii="Arial" w:hAnsi="Arial" w:cs="Arial"/>
          <w:b/>
          <w:bCs/>
          <w:color w:val="003043"/>
          <w:sz w:val="32"/>
          <w:szCs w:val="32"/>
        </w:rPr>
      </w:pPr>
      <w:r>
        <w:rPr>
          <w:rFonts w:ascii="Arial" w:hAnsi="Arial" w:cs="Arial"/>
          <w:b/>
          <w:bCs/>
          <w:color w:val="003043"/>
          <w:sz w:val="32"/>
          <w:szCs w:val="32"/>
        </w:rPr>
        <w:t>How to use this guide</w:t>
      </w:r>
    </w:p>
    <w:p w14:paraId="7FEDE904" w14:textId="77777777" w:rsidR="00D73C02" w:rsidRPr="0092324B" w:rsidRDefault="00D73C02" w:rsidP="006C64EC">
      <w:pPr>
        <w:pStyle w:val="Heading1"/>
        <w:rPr>
          <w:rFonts w:ascii="Arial" w:hAnsi="Arial" w:cs="Arial"/>
          <w:color w:val="003043"/>
          <w:sz w:val="26"/>
          <w:szCs w:val="26"/>
        </w:rPr>
      </w:pPr>
    </w:p>
    <w:p w14:paraId="29927744" w14:textId="77777777" w:rsidR="007F42AD" w:rsidRPr="00AE3BD3" w:rsidRDefault="009F6CAD" w:rsidP="006C64EC">
      <w:pPr>
        <w:rPr>
          <w:rFonts w:ascii="Arial" w:hAnsi="Arial" w:cs="Arial"/>
          <w:color w:val="003043"/>
          <w:sz w:val="26"/>
          <w:szCs w:val="26"/>
        </w:rPr>
      </w:pPr>
      <w:r>
        <w:rPr>
          <w:rFonts w:ascii="Arial" w:hAnsi="Arial" w:cs="Arial"/>
          <w:color w:val="003043"/>
          <w:sz w:val="26"/>
          <w:szCs w:val="26"/>
        </w:rPr>
        <w:t>This question bank is structured around the core accountabilities in the CMO job description: medical &amp; scientific leadership, clinical development oversight, manufacturing &amp; quality integration, regulatory and agency engagement, pharmacovigilance, compliance and governance, cross-functional partnership, and leadership and talent development. It closes with questions on qualifications/experience fit and a short set of closing questions for the candidate.</w:t>
      </w:r>
    </w:p>
    <w:p w14:paraId="7CBAFC04" w14:textId="77777777" w:rsidR="00027F68" w:rsidRPr="00AE3BD3" w:rsidRDefault="00027F68" w:rsidP="006C64EC">
      <w:pPr>
        <w:rPr>
          <w:rFonts w:ascii="Arial" w:hAnsi="Arial" w:cs="Arial"/>
          <w:color w:val="003043"/>
          <w:sz w:val="26"/>
          <w:szCs w:val="26"/>
        </w:rPr>
      </w:pPr>
    </w:p>
    <w:p w14:paraId="72F62D6A" w14:textId="10C11147" w:rsidR="007F42AD" w:rsidRPr="00AE3BD3" w:rsidRDefault="009F6CAD" w:rsidP="006C64EC">
      <w:pPr>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 – 14 questions across sections for a single 60 – 75 minute panel round rather than using the full bank in one sitting. A first-round screen might draw mainly from Sections 1, 2 and 8, while a final-round panel with the CEO or Board should weight Sections 3–6 and 9 more heavily.</w:t>
      </w:r>
    </w:p>
    <w:p w14:paraId="35C35EEB" w14:textId="77777777" w:rsidR="00E95481" w:rsidRDefault="00E95481" w:rsidP="006C64EC">
      <w:pPr>
        <w:pStyle w:val="Heading1"/>
        <w:rPr>
          <w:rFonts w:ascii="Arial" w:hAnsi="Arial" w:cs="Arial"/>
          <w:color w:val="003043"/>
          <w:sz w:val="26"/>
          <w:szCs w:val="26"/>
        </w:rPr>
      </w:pPr>
    </w:p>
    <w:p w14:paraId="4FAC9537" w14:textId="27C5234E" w:rsidR="007F42AD" w:rsidRPr="00AE3BD3" w:rsidRDefault="009F6CAD" w:rsidP="00E17059">
      <w:pPr>
        <w:pStyle w:val="Heading1"/>
        <w:numPr>
          <w:ilvl w:val="0"/>
          <w:numId w:val="3"/>
        </w:numPr>
        <w:rPr>
          <w:rFonts w:ascii="Arial" w:hAnsi="Arial" w:cs="Arial"/>
          <w:b/>
          <w:bCs/>
          <w:color w:val="003043"/>
          <w:sz w:val="32"/>
          <w:szCs w:val="32"/>
        </w:rPr>
      </w:pPr>
      <w:r>
        <w:rPr>
          <w:rFonts w:ascii="Arial" w:hAnsi="Arial" w:cs="Arial"/>
          <w:b/>
          <w:bCs/>
          <w:color w:val="003043"/>
          <w:sz w:val="32"/>
          <w:szCs w:val="32"/>
        </w:rPr>
        <w:t>Medical &amp; Scientific Leadership</w:t>
      </w:r>
    </w:p>
    <w:p w14:paraId="5B495816" w14:textId="77777777" w:rsidR="00E17059" w:rsidRPr="0092324B" w:rsidRDefault="00E17059" w:rsidP="00E17059">
      <w:pPr>
        <w:pStyle w:val="Heading1"/>
        <w:ind w:left="720"/>
        <w:rPr>
          <w:rFonts w:ascii="Arial" w:hAnsi="Arial" w:cs="Arial"/>
          <w:color w:val="003043"/>
          <w:sz w:val="26"/>
          <w:szCs w:val="26"/>
        </w:rPr>
      </w:pPr>
    </w:p>
    <w:p w14:paraId="2AE54E07" w14:textId="77777777" w:rsidR="007F42AD" w:rsidRPr="00E17059" w:rsidRDefault="009F6CAD" w:rsidP="006C64EC">
      <w:pPr>
        <w:rPr>
          <w:rFonts w:ascii="Arial" w:hAnsi="Arial" w:cs="Arial"/>
          <w:color w:val="003043"/>
          <w:sz w:val="26"/>
          <w:szCs w:val="26"/>
        </w:rPr>
      </w:pPr>
      <w:r>
        <w:rPr>
          <w:rFonts w:ascii="Arial" w:hAnsi="Arial" w:cs="Arial"/>
          <w:b/>
          <w:bCs/>
          <w:color w:val="003043"/>
          <w:sz w:val="26"/>
          <w:szCs w:val="26"/>
        </w:rPr>
        <w:t xml:space="preserve">Q1. </w:t>
      </w:r>
      <w:r>
        <w:rPr>
          <w:rFonts w:ascii="Arial" w:hAnsi="Arial" w:cs="Arial"/>
          <w:color w:val="003043"/>
          <w:sz w:val="26"/>
          <w:szCs w:val="26"/>
        </w:rPr>
        <w:t>Describe the medical strategy you built or inherited at your current organization. What was the single most consequential judgment call you made on benefit–risk, and how did you reach it when the data was ambiguous?</w:t>
      </w:r>
    </w:p>
    <w:p w14:paraId="39EF1D5D" w14:textId="77777777" w:rsidR="007F42AD" w:rsidRPr="00B41A79"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A real, specific decision rather than a generic framework; evidence of weighing patient safety against commercial or timeline pressure; comfort articulating the reasoning, not just the outcome.</w:t>
      </w:r>
    </w:p>
    <w:p w14:paraId="254642D1" w14:textId="77777777" w:rsidR="007F42AD" w:rsidRPr="00E17059" w:rsidRDefault="009F6CAD" w:rsidP="006C64EC">
      <w:pPr>
        <w:rPr>
          <w:rFonts w:ascii="Arial" w:hAnsi="Arial" w:cs="Arial"/>
          <w:color w:val="003043"/>
          <w:sz w:val="26"/>
          <w:szCs w:val="26"/>
        </w:rPr>
      </w:pPr>
      <w:r>
        <w:rPr>
          <w:rFonts w:ascii="Arial" w:hAnsi="Arial" w:cs="Arial"/>
          <w:b/>
          <w:bCs/>
          <w:color w:val="003043"/>
          <w:sz w:val="26"/>
          <w:szCs w:val="26"/>
        </w:rPr>
        <w:t xml:space="preserve">Q2. </w:t>
      </w:r>
      <w:r>
        <w:rPr>
          <w:rFonts w:ascii="Arial" w:hAnsi="Arial" w:cs="Arial"/>
          <w:color w:val="003043"/>
          <w:sz w:val="26"/>
          <w:szCs w:val="26"/>
        </w:rPr>
        <w:t>Tell me about a time you disagreed with a label claim or clinical evidence interpretation that Commercial or Legal wanted to support. How did you handle it?</w:t>
      </w:r>
    </w:p>
    <w:p w14:paraId="137E1116" w14:textId="77777777" w:rsidR="007F42AD" w:rsidRPr="00B41A79"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Willingness to hold a position under pressure from senior peers; how they built the case rather than simply asserting authority; whether the resolution protected scientific integrity.</w:t>
      </w:r>
    </w:p>
    <w:p w14:paraId="66624591" w14:textId="2525FC31" w:rsidR="007F42AD" w:rsidRPr="00E17059" w:rsidRDefault="009F6CAD" w:rsidP="006C64EC">
      <w:pPr>
        <w:rPr>
          <w:rFonts w:ascii="Arial" w:hAnsi="Arial" w:cs="Arial"/>
          <w:color w:val="003043"/>
          <w:sz w:val="26"/>
          <w:szCs w:val="26"/>
        </w:rPr>
      </w:pPr>
      <w:r>
        <w:rPr>
          <w:rFonts w:ascii="Arial" w:hAnsi="Arial" w:cs="Arial"/>
          <w:b/>
          <w:bCs/>
          <w:color w:val="003043"/>
          <w:sz w:val="26"/>
          <w:szCs w:val="26"/>
        </w:rPr>
        <w:t xml:space="preserve">Q3. </w:t>
      </w:r>
      <w:r>
        <w:rPr>
          <w:rFonts w:ascii="Arial" w:hAnsi="Arial" w:cs="Arial"/>
          <w:color w:val="003043"/>
          <w:sz w:val="26"/>
          <w:szCs w:val="26"/>
        </w:rPr>
        <w:t xml:space="preserve">How do you structure medical governance, Medical Review Committees, Safety Review Boards, so that they function as genuine decision-making bodies rather than rubber-stamps?</w:t>
      </w:r>
    </w:p>
    <w:p w14:paraId="6313BDF1" w14:textId="77777777" w:rsidR="007F42AD" w:rsidRPr="00B41A79"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Concrete governance design (membership, escalation triggers, cadence, documentation); awareness of common failure modes (committees that exist on paper only).</w:t>
      </w:r>
    </w:p>
    <w:p w14:paraId="4AF94210" w14:textId="77777777" w:rsidR="00B41A79" w:rsidRPr="00E17059" w:rsidRDefault="00B41A79" w:rsidP="006C64EC">
      <w:pPr>
        <w:rPr>
          <w:rFonts w:ascii="Arial" w:hAnsi="Arial" w:cs="Arial"/>
          <w:color w:val="003043"/>
          <w:sz w:val="26"/>
          <w:szCs w:val="26"/>
        </w:rPr>
      </w:pPr>
    </w:p>
    <w:p w14:paraId="076AA078" w14:textId="77777777" w:rsidR="007F42AD" w:rsidRPr="00AE3BD3" w:rsidRDefault="009F6CAD" w:rsidP="006C64EC">
      <w:pPr>
        <w:pStyle w:val="Heading1"/>
        <w:rPr>
          <w:rFonts w:ascii="Arial" w:hAnsi="Arial" w:cs="Arial"/>
          <w:b/>
          <w:bCs/>
          <w:color w:val="003043"/>
          <w:sz w:val="32"/>
          <w:szCs w:val="32"/>
        </w:rPr>
      </w:pPr>
      <w:r>
        <w:rPr>
          <w:rFonts w:ascii="Arial" w:hAnsi="Arial" w:cs="Arial"/>
          <w:b/>
          <w:bCs/>
          <w:color w:val="003043"/>
          <w:sz w:val="32"/>
          <w:szCs w:val="32"/>
        </w:rPr>
        <w:t>2. Clinical Development Oversight</w:t>
      </w:r>
    </w:p>
    <w:p w14:paraId="3DC0EE30" w14:textId="77777777" w:rsidR="007D1072" w:rsidRDefault="007D1072" w:rsidP="006C64EC">
      <w:pPr>
        <w:rPr>
          <w:rFonts w:ascii="Arial" w:hAnsi="Arial" w:cs="Arial"/>
          <w:b/>
          <w:bCs/>
          <w:color w:val="003043"/>
          <w:sz w:val="26"/>
          <w:szCs w:val="26"/>
        </w:rPr>
      </w:pPr>
    </w:p>
    <w:p w14:paraId="209ACDDF" w14:textId="148497D1" w:rsidR="007F42AD" w:rsidRPr="00E7280C" w:rsidRDefault="009F6CAD" w:rsidP="006C64EC">
      <w:pPr>
        <w:rPr>
          <w:rFonts w:ascii="Arial" w:hAnsi="Arial" w:cs="Arial"/>
          <w:color w:val="003043"/>
          <w:sz w:val="26"/>
          <w:szCs w:val="26"/>
        </w:rPr>
      </w:pPr>
      <w:r>
        <w:rPr>
          <w:rFonts w:ascii="Arial" w:hAnsi="Arial" w:cs="Arial"/>
          <w:b/>
          <w:bCs/>
          <w:color w:val="003043"/>
          <w:sz w:val="26"/>
          <w:szCs w:val="26"/>
        </w:rPr>
        <w:t xml:space="preserve">Q4. </w:t>
      </w:r>
      <w:r>
        <w:rPr>
          <w:rFonts w:ascii="Arial" w:hAnsi="Arial" w:cs="Arial"/>
          <w:color w:val="003043"/>
          <w:sz w:val="26"/>
          <w:szCs w:val="26"/>
        </w:rPr>
        <w:t>Walk me through a clinical program where trial design or protocol assumptions had to change mid-course. What drove the change and how did you manage the impact on the regulatory submission timeline?</w:t>
      </w:r>
    </w:p>
    <w:p w14:paraId="6DD8B947" w14:textId="77777777" w:rsidR="007F42AD" w:rsidRPr="00E7280C"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Depth on trial design mechanics (endpoints, population, statistical plan); realistic account of the trade-offs, not just a smooth success story.</w:t>
      </w:r>
    </w:p>
    <w:p w14:paraId="2E48CDC2" w14:textId="77777777" w:rsidR="007F42AD" w:rsidRPr="00E7280C" w:rsidRDefault="009F6CAD" w:rsidP="006C64EC">
      <w:pPr>
        <w:rPr>
          <w:rFonts w:ascii="Arial" w:hAnsi="Arial" w:cs="Arial"/>
          <w:color w:val="003043"/>
          <w:sz w:val="26"/>
          <w:szCs w:val="26"/>
        </w:rPr>
      </w:pPr>
      <w:r>
        <w:rPr>
          <w:rFonts w:ascii="Arial" w:hAnsi="Arial" w:cs="Arial"/>
          <w:b/>
          <w:bCs/>
          <w:color w:val="003043"/>
          <w:sz w:val="26"/>
          <w:szCs w:val="26"/>
        </w:rPr>
        <w:t xml:space="preserve">Q5. </w:t>
      </w:r>
      <w:r>
        <w:rPr>
          <w:rFonts w:ascii="Arial" w:hAnsi="Arial" w:cs="Arial"/>
          <w:color w:val="003043"/>
          <w:sz w:val="26"/>
          <w:szCs w:val="26"/>
        </w:rPr>
        <w:t>What is your approach to investigator engagement and oversight, particularly when a site is underperforming or a KOL relationship becomes strained?</w:t>
      </w:r>
    </w:p>
    <w:p w14:paraId="3A0A53C8" w14:textId="77777777" w:rsidR="007F42AD" w:rsidRPr="00E7280C"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Practical experience managing sites and investigators directly, not only through a CRO; diplomacy balanced with willingness to act (e.g., site closure).</w:t>
      </w:r>
    </w:p>
    <w:p w14:paraId="393D045C" w14:textId="27632211" w:rsidR="007F42AD" w:rsidRPr="00E7280C" w:rsidRDefault="009F6CAD" w:rsidP="006C64EC">
      <w:pPr>
        <w:rPr>
          <w:rFonts w:ascii="Arial" w:hAnsi="Arial" w:cs="Arial"/>
          <w:color w:val="003043"/>
          <w:sz w:val="26"/>
          <w:szCs w:val="26"/>
        </w:rPr>
      </w:pPr>
      <w:r>
        <w:rPr>
          <w:rFonts w:ascii="Arial" w:hAnsi="Arial" w:cs="Arial"/>
          <w:b/>
          <w:bCs/>
          <w:color w:val="003043"/>
          <w:sz w:val="26"/>
          <w:szCs w:val="26"/>
        </w:rPr>
        <w:t xml:space="preserve">Q6. </w:t>
      </w:r>
      <w:r>
        <w:rPr>
          <w:rFonts w:ascii="Arial" w:hAnsi="Arial" w:cs="Arial"/>
          <w:color w:val="003043"/>
          <w:sz w:val="26"/>
          <w:szCs w:val="26"/>
        </w:rPr>
        <w:t xml:space="preserve">Which submissions have you personally supported, IND, NDA, BLA, PMA or 510(k), and what was your specific role in shaping the medical sections?</w:t>
      </w:r>
    </w:p>
    <w:p w14:paraId="74DD1C0E" w14:textId="77777777" w:rsidR="007F42AD"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Precision about their actual contribution versus the broader team's; familiarity with the submission type relevant to this organization's product class.</w:t>
      </w:r>
    </w:p>
    <w:p w14:paraId="00C89FC4" w14:textId="77777777" w:rsidR="00E7280C" w:rsidRPr="00E7280C" w:rsidRDefault="00E7280C" w:rsidP="006C64EC">
      <w:pPr>
        <w:rPr>
          <w:rFonts w:ascii="Arial" w:hAnsi="Arial" w:cs="Arial"/>
          <w:color w:val="003043"/>
          <w:sz w:val="26"/>
          <w:szCs w:val="26"/>
        </w:rPr>
      </w:pPr>
    </w:p>
    <w:p w14:paraId="618A2EBC" w14:textId="4F972716" w:rsidR="007F42AD" w:rsidRPr="00AE3BD3" w:rsidRDefault="009F6CAD" w:rsidP="007D1072">
      <w:pPr>
        <w:pStyle w:val="Heading1"/>
        <w:numPr>
          <w:ilvl w:val="0"/>
          <w:numId w:val="3"/>
        </w:numPr>
        <w:rPr>
          <w:rFonts w:ascii="Arial" w:hAnsi="Arial" w:cs="Arial"/>
          <w:b/>
          <w:bCs/>
          <w:color w:val="003043"/>
          <w:sz w:val="32"/>
          <w:szCs w:val="32"/>
        </w:rPr>
      </w:pPr>
      <w:r>
        <w:rPr>
          <w:rFonts w:ascii="Arial" w:hAnsi="Arial" w:cs="Arial"/>
          <w:b/>
          <w:bCs/>
          <w:color w:val="003043"/>
          <w:sz w:val="32"/>
          <w:szCs w:val="32"/>
        </w:rPr>
        <w:lastRenderedPageBreak/>
        <w:t>Manufacturing &amp; Quality Integration</w:t>
      </w:r>
    </w:p>
    <w:p w14:paraId="3A9DB78B" w14:textId="77777777" w:rsidR="007D1072" w:rsidRPr="007D1072" w:rsidRDefault="007D1072" w:rsidP="007D1072">
      <w:pPr>
        <w:pStyle w:val="Heading1"/>
        <w:ind w:left="360"/>
        <w:rPr>
          <w:rFonts w:ascii="Arial" w:hAnsi="Arial" w:cs="Arial"/>
          <w:color w:val="003043"/>
          <w:sz w:val="26"/>
          <w:szCs w:val="26"/>
        </w:rPr>
      </w:pPr>
    </w:p>
    <w:p w14:paraId="7BFDD4A0" w14:textId="77777777" w:rsidR="007F42AD" w:rsidRPr="00F50572" w:rsidRDefault="009F6CAD" w:rsidP="006C64EC">
      <w:pPr>
        <w:rPr>
          <w:rFonts w:ascii="Arial" w:hAnsi="Arial" w:cs="Arial"/>
          <w:color w:val="003043"/>
          <w:sz w:val="26"/>
          <w:szCs w:val="26"/>
        </w:rPr>
      </w:pPr>
      <w:r>
        <w:rPr>
          <w:rFonts w:ascii="Arial" w:hAnsi="Arial" w:cs="Arial"/>
          <w:b/>
          <w:bCs/>
          <w:color w:val="003043"/>
          <w:sz w:val="26"/>
          <w:szCs w:val="26"/>
        </w:rPr>
        <w:t xml:space="preserve">Q7. </w:t>
      </w:r>
      <w:r>
        <w:rPr>
          <w:rFonts w:ascii="Arial" w:hAnsi="Arial" w:cs="Arial"/>
          <w:color w:val="003043"/>
          <w:sz w:val="26"/>
          <w:szCs w:val="26"/>
        </w:rPr>
        <w:t>Describe a significant deviation, CAPA or change control decision where medical judgment was the deciding factor in a quality outcome. How did you work with Manufacturing and Quality to reach a resolution?</w:t>
      </w:r>
    </w:p>
    <w:p w14:paraId="53D2ECCB"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Genuine manufacturing-floor experience, not just clinical-trial experience; understanding of how medical rationale gets documented and defended to regulators; collaborative language toward Quality and Manufacturing rather than adversarial.</w:t>
      </w:r>
    </w:p>
    <w:p w14:paraId="5DD30C86"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rPr>
        <w:t xml:space="preserve">Q8. </w:t>
      </w:r>
      <w:r>
        <w:rPr>
          <w:rFonts w:ascii="Arial" w:hAnsi="Arial" w:cs="Arial"/>
          <w:color w:val="003043"/>
          <w:sz w:val="26"/>
          <w:szCs w:val="26"/>
        </w:rPr>
        <w:t>How do you ensure product specifications remain aligned with clinical and safety expectations as a product moves through its lifecycle, particularly after a process change or technology transfer?</w:t>
      </w:r>
    </w:p>
    <w:p w14:paraId="04945649"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Understanding of process validation and specification-setting; awareness that this is where clinical intent and manufacturing reality can drift apart.</w:t>
      </w:r>
    </w:p>
    <w:p w14:paraId="49BEEDAF"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rPr>
        <w:t xml:space="preserve">Q9. </w:t>
      </w:r>
      <w:r>
        <w:rPr>
          <w:rFonts w:ascii="Arial" w:hAnsi="Arial" w:cs="Arial"/>
          <w:color w:val="003043"/>
          <w:sz w:val="26"/>
          <w:szCs w:val="26"/>
        </w:rPr>
        <w:t>Tell me about a time you had to weigh in on a batch disposition or release decision with incomplete information and real time pressure. What was your process?</w:t>
      </w:r>
    </w:p>
    <w:p w14:paraId="3CB13122" w14:textId="77777777" w:rsidR="007F42AD"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Structured risk-based thinking; clarity on where they draw the line between acceptable risk and a hold; comfort with accountability for the call.</w:t>
      </w:r>
    </w:p>
    <w:p w14:paraId="1490556E" w14:textId="77777777" w:rsidR="00440C3E" w:rsidRPr="00440C3E" w:rsidRDefault="00440C3E" w:rsidP="006C64EC">
      <w:pPr>
        <w:rPr>
          <w:rFonts w:ascii="Arial" w:hAnsi="Arial" w:cs="Arial"/>
          <w:color w:val="003043"/>
          <w:sz w:val="26"/>
          <w:szCs w:val="26"/>
        </w:rPr>
      </w:pPr>
    </w:p>
    <w:p w14:paraId="74B6C807" w14:textId="77777777" w:rsidR="007F42AD" w:rsidRPr="00AE3BD3" w:rsidRDefault="009F6CAD" w:rsidP="006C64EC">
      <w:pPr>
        <w:pStyle w:val="Heading1"/>
        <w:rPr>
          <w:rFonts w:ascii="Arial" w:hAnsi="Arial" w:cs="Arial"/>
          <w:b/>
          <w:bCs/>
          <w:color w:val="003043"/>
          <w:sz w:val="32"/>
          <w:szCs w:val="32"/>
        </w:rPr>
      </w:pPr>
      <w:r>
        <w:rPr>
          <w:rFonts w:ascii="Arial" w:hAnsi="Arial" w:cs="Arial"/>
          <w:b/>
          <w:bCs/>
          <w:color w:val="003043"/>
          <w:sz w:val="32"/>
          <w:szCs w:val="32"/>
        </w:rPr>
        <w:t>4. Regulatory &amp; Agency Engagement</w:t>
      </w:r>
    </w:p>
    <w:p w14:paraId="6943E4AB" w14:textId="77777777" w:rsidR="00440C3E" w:rsidRDefault="00440C3E" w:rsidP="006C64EC">
      <w:pPr>
        <w:rPr>
          <w:rFonts w:ascii="Arial" w:hAnsi="Arial" w:cs="Arial"/>
          <w:b/>
          <w:bCs/>
          <w:color w:val="003043"/>
          <w:sz w:val="26"/>
          <w:szCs w:val="26"/>
        </w:rPr>
      </w:pPr>
    </w:p>
    <w:p w14:paraId="2324BD37" w14:textId="002A13BD" w:rsidR="007F42AD" w:rsidRPr="00440C3E" w:rsidRDefault="009F6CAD" w:rsidP="006C64EC">
      <w:pPr>
        <w:rPr>
          <w:rFonts w:ascii="Arial" w:hAnsi="Arial" w:cs="Arial"/>
          <w:color w:val="003043"/>
          <w:sz w:val="26"/>
          <w:szCs w:val="26"/>
        </w:rPr>
      </w:pPr>
      <w:r>
        <w:rPr>
          <w:rFonts w:ascii="Arial" w:hAnsi="Arial" w:cs="Arial"/>
          <w:b/>
          <w:bCs/>
          <w:color w:val="003043"/>
          <w:sz w:val="26"/>
          <w:szCs w:val="26"/>
        </w:rPr>
        <w:t xml:space="preserve">Q10. </w:t>
      </w:r>
      <w:r>
        <w:rPr>
          <w:rFonts w:ascii="Arial" w:hAnsi="Arial" w:cs="Arial"/>
          <w:color w:val="003043"/>
          <w:sz w:val="26"/>
          <w:szCs w:val="26"/>
        </w:rPr>
        <w:t>Describe your most difficult FDA (or EMA/PMDA) inspection or advisory committee experience. What was at stake, and what did you do differently afterward?</w:t>
      </w:r>
    </w:p>
    <w:p w14:paraId="537BA672"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First-hand agency experience at executive level, not delegated; candor about what went wrong; concrete follow-through, not just a lesson learned in the abstract.</w:t>
      </w:r>
    </w:p>
    <w:p w14:paraId="49AD377C"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rPr>
        <w:t xml:space="preserve">Q11. </w:t>
      </w:r>
      <w:r>
        <w:rPr>
          <w:rFonts w:ascii="Arial" w:hAnsi="Arial" w:cs="Arial"/>
          <w:color w:val="003043"/>
          <w:sz w:val="26"/>
          <w:szCs w:val="26"/>
        </w:rPr>
        <w:t>How do you prepare an organization for a health authority interaction when the underlying science or safety picture is genuinely unfavourable?</w:t>
      </w:r>
    </w:p>
    <w:p w14:paraId="1536623F"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Ethical handling of unfavourable data; ability to manage internal stakeholders (Commercial, Legal, the Board) alongside the agency relationship.</w:t>
      </w:r>
    </w:p>
    <w:p w14:paraId="6263C853"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rPr>
        <w:t xml:space="preserve">Q12. </w:t>
      </w:r>
      <w:r>
        <w:rPr>
          <w:rFonts w:ascii="Arial" w:hAnsi="Arial" w:cs="Arial"/>
          <w:color w:val="003043"/>
          <w:sz w:val="26"/>
          <w:szCs w:val="26"/>
        </w:rPr>
        <w:t>What is your view on the current direction of regulatory expectations in your therapeutic area or product class, and how has that shaped your team's submission strategy?</w:t>
      </w:r>
    </w:p>
    <w:p w14:paraId="29091642" w14:textId="77777777" w:rsidR="007F42AD"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Currency of knowledge; ability to translate policy shifts into practical organisational changes rather than only commentary.</w:t>
      </w:r>
    </w:p>
    <w:p w14:paraId="6DAC6029" w14:textId="77777777" w:rsidR="00440C3E" w:rsidRPr="00440C3E" w:rsidRDefault="00440C3E" w:rsidP="006C64EC">
      <w:pPr>
        <w:rPr>
          <w:rFonts w:ascii="Arial" w:hAnsi="Arial" w:cs="Arial"/>
          <w:color w:val="003043"/>
          <w:sz w:val="26"/>
          <w:szCs w:val="26"/>
        </w:rPr>
      </w:pPr>
    </w:p>
    <w:p w14:paraId="5CA7B05A" w14:textId="77777777" w:rsidR="007F42AD" w:rsidRPr="00AE3BD3" w:rsidRDefault="009F6CAD" w:rsidP="006C64EC">
      <w:pPr>
        <w:pStyle w:val="Heading1"/>
        <w:rPr>
          <w:rFonts w:ascii="Arial" w:hAnsi="Arial" w:cs="Arial"/>
          <w:b/>
          <w:bCs/>
          <w:color w:val="003043"/>
          <w:sz w:val="32"/>
          <w:szCs w:val="32"/>
        </w:rPr>
      </w:pPr>
      <w:r>
        <w:rPr>
          <w:rFonts w:ascii="Arial" w:hAnsi="Arial" w:cs="Arial"/>
          <w:b/>
          <w:bCs/>
          <w:color w:val="003043"/>
          <w:sz w:val="32"/>
          <w:szCs w:val="32"/>
        </w:rPr>
        <w:t>5. Pharmacovigilance &amp; Post-Market Surveillance</w:t>
      </w:r>
    </w:p>
    <w:p w14:paraId="7B469DDA" w14:textId="77777777" w:rsidR="00440C3E" w:rsidRDefault="00440C3E" w:rsidP="006C64EC">
      <w:pPr>
        <w:rPr>
          <w:rFonts w:ascii="Arial" w:hAnsi="Arial" w:cs="Arial"/>
          <w:b/>
          <w:bCs/>
          <w:color w:val="003043"/>
          <w:sz w:val="26"/>
          <w:szCs w:val="26"/>
        </w:rPr>
      </w:pPr>
    </w:p>
    <w:p w14:paraId="28254663" w14:textId="4DFCEE16" w:rsidR="007F42AD" w:rsidRPr="00440C3E" w:rsidRDefault="009F6CAD" w:rsidP="006C64EC">
      <w:pPr>
        <w:rPr>
          <w:rFonts w:ascii="Arial" w:hAnsi="Arial" w:cs="Arial"/>
          <w:color w:val="003043"/>
          <w:sz w:val="26"/>
          <w:szCs w:val="26"/>
        </w:rPr>
      </w:pPr>
      <w:r>
        <w:rPr>
          <w:rFonts w:ascii="Arial" w:hAnsi="Arial" w:cs="Arial"/>
          <w:b/>
          <w:bCs/>
          <w:color w:val="003043"/>
          <w:sz w:val="26"/>
          <w:szCs w:val="26"/>
        </w:rPr>
        <w:t xml:space="preserve">Q13. </w:t>
      </w:r>
      <w:r>
        <w:rPr>
          <w:rFonts w:ascii="Arial" w:hAnsi="Arial" w:cs="Arial"/>
          <w:color w:val="003043"/>
          <w:sz w:val="26"/>
          <w:szCs w:val="26"/>
        </w:rPr>
        <w:t>Tell me about a signal detection case that led to a material safety communication, label change or field action. How did you make the call, and how did you manage the internal and external communication?</w:t>
      </w:r>
    </w:p>
    <w:p w14:paraId="390A07B3"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First-hand ownership of a real safety signal; clarity on the decision threshold used; composure describing a high-stakes, likely public episode.</w:t>
      </w:r>
    </w:p>
    <w:p w14:paraId="50D63FA9"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rPr>
        <w:t xml:space="preserve">Q14. </w:t>
      </w:r>
      <w:r>
        <w:rPr>
          <w:rFonts w:ascii="Arial" w:hAnsi="Arial" w:cs="Arial"/>
          <w:color w:val="003043"/>
          <w:sz w:val="26"/>
          <w:szCs w:val="26"/>
        </w:rPr>
        <w:t>How do you personally review and sign off on PSURs, DSURs or RMPs at scale without becoming a bottleneck or a rubber stamp?</w:t>
      </w:r>
    </w:p>
    <w:p w14:paraId="465503DF"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A defensible process (delegation with defined escalation criteria, sampling approach, or similar); self-awareness about the tension between throughput and genuine oversight.</w:t>
      </w:r>
    </w:p>
    <w:p w14:paraId="468254CF" w14:textId="50EBD037" w:rsidR="007F42AD" w:rsidRPr="00440C3E" w:rsidRDefault="009F6CAD" w:rsidP="006C64EC">
      <w:pPr>
        <w:rPr>
          <w:rFonts w:ascii="Arial" w:hAnsi="Arial" w:cs="Arial"/>
          <w:color w:val="003043"/>
          <w:sz w:val="26"/>
          <w:szCs w:val="26"/>
        </w:rPr>
      </w:pPr>
      <w:r>
        <w:rPr>
          <w:rFonts w:ascii="Arial" w:hAnsi="Arial" w:cs="Arial"/>
          <w:b/>
          <w:bCs/>
          <w:color w:val="003043"/>
          <w:sz w:val="26"/>
          <w:szCs w:val="26"/>
        </w:rPr>
        <w:t xml:space="preserve">Q15. </w:t>
      </w:r>
      <w:r>
        <w:rPr>
          <w:rFonts w:ascii="Arial" w:hAnsi="Arial" w:cs="Arial"/>
          <w:color w:val="003043"/>
          <w:sz w:val="26"/>
          <w:szCs w:val="26"/>
        </w:rPr>
        <w:t>Describe how you have handled a product recall or serious adverse event from initial signal through to resolution.</w:t>
      </w:r>
    </w:p>
    <w:p w14:paraId="10FC5807" w14:textId="77777777" w:rsidR="007F42AD" w:rsidRPr="00440C3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End-to-end ownership across medical, quality, and communications; calm, structured recall of a genuinely stressful event.</w:t>
      </w:r>
    </w:p>
    <w:p w14:paraId="7513BEF6" w14:textId="77777777" w:rsidR="007B1B7E" w:rsidRDefault="007B1B7E" w:rsidP="006C64EC">
      <w:pPr>
        <w:pStyle w:val="Heading1"/>
        <w:rPr>
          <w:rFonts w:ascii="Arial" w:hAnsi="Arial" w:cs="Arial"/>
          <w:color w:val="003043"/>
          <w:sz w:val="26"/>
          <w:szCs w:val="26"/>
        </w:rPr>
      </w:pPr>
    </w:p>
    <w:p w14:paraId="3BC9BB51" w14:textId="48D32E5C" w:rsidR="007F42AD" w:rsidRPr="00AE3BD3" w:rsidRDefault="009F6CAD" w:rsidP="006C64EC">
      <w:pPr>
        <w:pStyle w:val="Heading1"/>
        <w:rPr>
          <w:rFonts w:ascii="Arial" w:hAnsi="Arial" w:cs="Arial"/>
          <w:b/>
          <w:bCs/>
          <w:color w:val="003043"/>
          <w:sz w:val="32"/>
          <w:szCs w:val="32"/>
        </w:rPr>
      </w:pPr>
      <w:r>
        <w:rPr>
          <w:rFonts w:ascii="Arial" w:hAnsi="Arial" w:cs="Arial"/>
          <w:b/>
          <w:bCs/>
          <w:color w:val="003043"/>
          <w:sz w:val="32"/>
          <w:szCs w:val="32"/>
        </w:rPr>
        <w:lastRenderedPageBreak/>
        <w:t>6. Compliance &amp; Governance</w:t>
      </w:r>
    </w:p>
    <w:p w14:paraId="2A11E581" w14:textId="77777777" w:rsidR="007B1B7E" w:rsidRDefault="007B1B7E" w:rsidP="006C64EC">
      <w:pPr>
        <w:rPr>
          <w:rFonts w:ascii="Arial" w:hAnsi="Arial" w:cs="Arial"/>
          <w:b/>
          <w:bCs/>
          <w:color w:val="003043"/>
          <w:sz w:val="26"/>
          <w:szCs w:val="26"/>
        </w:rPr>
      </w:pPr>
    </w:p>
    <w:p w14:paraId="4523E3CC" w14:textId="1699EC7B"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Q16. </w:t>
      </w:r>
      <w:r>
        <w:rPr>
          <w:rFonts w:ascii="Arial" w:hAnsi="Arial" w:cs="Arial"/>
          <w:color w:val="003043"/>
          <w:sz w:val="26"/>
          <w:szCs w:val="26"/>
        </w:rPr>
        <w:t>Give an example of a medical ethics or compliance issue you had to escalate or act on, even when it was commercially or politically uncomfortable to do so.</w:t>
      </w:r>
    </w:p>
    <w:p w14:paraId="0CE6ECFE"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Evidence of having actually done this, not a hypothetical; willingness to name the discomfort rather than minimize it.</w:t>
      </w:r>
    </w:p>
    <w:p w14:paraId="121E849F"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Q17. </w:t>
      </w:r>
      <w:r>
        <w:rPr>
          <w:rFonts w:ascii="Arial" w:hAnsi="Arial" w:cs="Arial"/>
          <w:color w:val="003043"/>
          <w:sz w:val="26"/>
          <w:szCs w:val="26"/>
        </w:rPr>
        <w:t>How do you build and sustain a culture of transparency and regulatory integrity across a medical organization, particularly under commercial pressure?</w:t>
      </w:r>
    </w:p>
    <w:p w14:paraId="37D29204" w14:textId="77777777" w:rsidR="007F42AD"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Specific mechanisms (SOP ownership, training, escalation channels) rather than only values language.</w:t>
      </w:r>
    </w:p>
    <w:p w14:paraId="0FD06D00" w14:textId="77777777" w:rsidR="007B1B7E" w:rsidRPr="007B1B7E" w:rsidRDefault="007B1B7E" w:rsidP="006C64EC">
      <w:pPr>
        <w:rPr>
          <w:rFonts w:ascii="Arial" w:hAnsi="Arial" w:cs="Arial"/>
          <w:color w:val="003043"/>
          <w:sz w:val="26"/>
          <w:szCs w:val="26"/>
        </w:rPr>
      </w:pPr>
    </w:p>
    <w:p w14:paraId="24387D85" w14:textId="77777777" w:rsidR="007F42AD" w:rsidRPr="00AE3BD3" w:rsidRDefault="009F6CAD" w:rsidP="006C64EC">
      <w:pPr>
        <w:pStyle w:val="Heading1"/>
        <w:rPr>
          <w:rFonts w:ascii="Arial" w:hAnsi="Arial" w:cs="Arial"/>
          <w:b/>
          <w:bCs/>
          <w:color w:val="003043"/>
          <w:sz w:val="32"/>
          <w:szCs w:val="32"/>
        </w:rPr>
      </w:pPr>
      <w:r>
        <w:rPr>
          <w:rFonts w:ascii="Arial" w:hAnsi="Arial" w:cs="Arial"/>
          <w:b/>
          <w:bCs/>
          <w:color w:val="003043"/>
          <w:sz w:val="32"/>
          <w:szCs w:val="32"/>
        </w:rPr>
        <w:t>7. Cross-Functional Executive Partnership</w:t>
      </w:r>
    </w:p>
    <w:p w14:paraId="2416521E" w14:textId="77777777" w:rsidR="009E5F1A" w:rsidRDefault="009E5F1A" w:rsidP="006C64EC">
      <w:pPr>
        <w:rPr>
          <w:rFonts w:ascii="Arial" w:hAnsi="Arial" w:cs="Arial"/>
          <w:b/>
          <w:bCs/>
          <w:color w:val="003043"/>
          <w:sz w:val="26"/>
          <w:szCs w:val="26"/>
        </w:rPr>
      </w:pPr>
    </w:p>
    <w:p w14:paraId="26341788" w14:textId="76DAB6B8"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Q18. </w:t>
      </w:r>
      <w:r>
        <w:rPr>
          <w:rFonts w:ascii="Arial" w:hAnsi="Arial" w:cs="Arial"/>
          <w:color w:val="003043"/>
          <w:sz w:val="26"/>
          <w:szCs w:val="26"/>
        </w:rPr>
        <w:t xml:space="preserve">Describe a significant disagreement with a peer executive, Commercial, Legal, Regulatory or Manufacturing, over a medical or product decision. How was it resolved, and what was the relationship like afterward?</w:t>
      </w:r>
    </w:p>
    <w:p w14:paraId="3777896F"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Genuine peer-level conflict, not a story where the CMO simply prevailed; evidence of a working relationship preserved or repaired.</w:t>
      </w:r>
    </w:p>
    <w:p w14:paraId="7FE036AB"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Q19. </w:t>
      </w:r>
      <w:r>
        <w:rPr>
          <w:rFonts w:ascii="Arial" w:hAnsi="Arial" w:cs="Arial"/>
          <w:color w:val="003043"/>
          <w:sz w:val="26"/>
          <w:szCs w:val="26"/>
        </w:rPr>
        <w:t>How do you approach promotional review or external communications where Commercial wants to move faster than the medical evidence comfortably supports?</w:t>
      </w:r>
    </w:p>
    <w:p w14:paraId="579E4C09" w14:textId="77777777" w:rsidR="007F42AD"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A repeatable process for this recurring tension, not a one-off anecdote; balance between enabling the business and protecting scientific integrity.</w:t>
      </w:r>
    </w:p>
    <w:p w14:paraId="24CA3973" w14:textId="77777777" w:rsidR="007B1B7E" w:rsidRPr="007B1B7E" w:rsidRDefault="007B1B7E" w:rsidP="006C64EC">
      <w:pPr>
        <w:rPr>
          <w:rFonts w:ascii="Arial" w:hAnsi="Arial" w:cs="Arial"/>
          <w:color w:val="003043"/>
          <w:sz w:val="26"/>
          <w:szCs w:val="26"/>
        </w:rPr>
      </w:pPr>
    </w:p>
    <w:p w14:paraId="6ED7D04E" w14:textId="77777777" w:rsidR="007F42AD" w:rsidRPr="00437808" w:rsidRDefault="009F6CAD" w:rsidP="006C64EC">
      <w:pPr>
        <w:pStyle w:val="Heading1"/>
        <w:rPr>
          <w:rFonts w:ascii="Arial" w:hAnsi="Arial" w:cs="Arial"/>
          <w:b/>
          <w:bCs/>
          <w:color w:val="003043"/>
          <w:sz w:val="32"/>
          <w:szCs w:val="32"/>
        </w:rPr>
      </w:pPr>
      <w:r>
        <w:rPr>
          <w:rFonts w:ascii="Arial" w:hAnsi="Arial" w:cs="Arial"/>
          <w:b/>
          <w:bCs/>
          <w:color w:val="003043"/>
          <w:sz w:val="32"/>
          <w:szCs w:val="32"/>
        </w:rPr>
        <w:t>8. Leadership &amp; Talent Development</w:t>
      </w:r>
    </w:p>
    <w:p w14:paraId="1E6B6AD8" w14:textId="77777777" w:rsidR="007B1B7E" w:rsidRDefault="007B1B7E" w:rsidP="006C64EC">
      <w:pPr>
        <w:rPr>
          <w:rFonts w:ascii="Arial" w:hAnsi="Arial" w:cs="Arial"/>
          <w:b/>
          <w:bCs/>
          <w:color w:val="003043"/>
          <w:sz w:val="26"/>
          <w:szCs w:val="26"/>
        </w:rPr>
      </w:pPr>
    </w:p>
    <w:p w14:paraId="685F34C6" w14:textId="7D0AB269"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Q20. </w:t>
      </w:r>
      <w:r>
        <w:rPr>
          <w:rFonts w:ascii="Arial" w:hAnsi="Arial" w:cs="Arial"/>
          <w:color w:val="003043"/>
          <w:sz w:val="26"/>
          <w:szCs w:val="26"/>
        </w:rPr>
        <w:t>Tell me about the medical organization you inherited or built. What did you change, and what did the succession plan look like by the time you left (or where does it stand today)?</w:t>
      </w:r>
    </w:p>
    <w:p w14:paraId="27787443"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Evidence of building durable structure and bench strength, not just personal output; honesty about what remained unfinished.</w:t>
      </w:r>
    </w:p>
    <w:p w14:paraId="5310EA22"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Q21. </w:t>
      </w:r>
      <w:r>
        <w:rPr>
          <w:rFonts w:ascii="Arial" w:hAnsi="Arial" w:cs="Arial"/>
          <w:color w:val="003043"/>
          <w:sz w:val="26"/>
          <w:szCs w:val="26"/>
        </w:rPr>
        <w:t>How do you mentor physicians and scientists who are strong clinically but need to develop as executives or people leaders?</w:t>
      </w:r>
    </w:p>
    <w:p w14:paraId="4AF2F23E" w14:textId="77777777" w:rsidR="007F42AD"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A concrete development approach; examples of specific individuals they have grown into more senior roles.</w:t>
      </w:r>
    </w:p>
    <w:p w14:paraId="5C96CA30" w14:textId="77777777" w:rsidR="007B1B7E" w:rsidRPr="007B1B7E" w:rsidRDefault="007B1B7E" w:rsidP="006C64EC">
      <w:pPr>
        <w:rPr>
          <w:rFonts w:ascii="Arial" w:hAnsi="Arial" w:cs="Arial"/>
          <w:color w:val="003043"/>
          <w:sz w:val="26"/>
          <w:szCs w:val="26"/>
        </w:rPr>
      </w:pPr>
    </w:p>
    <w:p w14:paraId="654410D5" w14:textId="77777777" w:rsidR="007F42AD" w:rsidRPr="00437808" w:rsidRDefault="009F6CAD" w:rsidP="006C64EC">
      <w:pPr>
        <w:pStyle w:val="Heading1"/>
        <w:rPr>
          <w:rFonts w:ascii="Arial" w:hAnsi="Arial" w:cs="Arial"/>
          <w:b/>
          <w:bCs/>
          <w:color w:val="003043"/>
          <w:sz w:val="32"/>
          <w:szCs w:val="32"/>
        </w:rPr>
      </w:pPr>
      <w:r>
        <w:rPr>
          <w:rFonts w:ascii="Arial" w:hAnsi="Arial" w:cs="Arial"/>
          <w:b/>
          <w:bCs/>
          <w:color w:val="003043"/>
          <w:sz w:val="32"/>
          <w:szCs w:val="32"/>
        </w:rPr>
        <w:t>9. Qualifications, Fit &amp; Motivation</w:t>
      </w:r>
    </w:p>
    <w:p w14:paraId="2B1FB992" w14:textId="77777777" w:rsidR="007B1B7E" w:rsidRDefault="007B1B7E" w:rsidP="006C64EC">
      <w:pPr>
        <w:rPr>
          <w:rFonts w:ascii="Arial" w:hAnsi="Arial" w:cs="Arial"/>
          <w:b/>
          <w:bCs/>
          <w:color w:val="003043"/>
          <w:sz w:val="26"/>
          <w:szCs w:val="26"/>
        </w:rPr>
      </w:pPr>
    </w:p>
    <w:p w14:paraId="7F46B330" w14:textId="1FD78BED"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Q22. </w:t>
      </w:r>
      <w:r>
        <w:rPr>
          <w:rFonts w:ascii="Arial" w:hAnsi="Arial" w:cs="Arial"/>
          <w:color w:val="003043"/>
          <w:sz w:val="26"/>
          <w:szCs w:val="26"/>
        </w:rPr>
        <w:t>This role sits closer to manufacturing and quality than a typical CMO mandate. What in your background makes you confident you can operate at that level of operational detail, and where do you expect the learning curve to be steepest?</w:t>
      </w:r>
    </w:p>
    <w:p w14:paraId="56552349"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Honest self-assessment rather than overclaiming; specific transferable experience (e.g., CMC, device combination products, GxP environments).</w:t>
      </w:r>
    </w:p>
    <w:p w14:paraId="1B378243" w14:textId="0DB07E10"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Q23. </w:t>
      </w:r>
      <w:r>
        <w:rPr>
          <w:rFonts w:ascii="Arial" w:hAnsi="Arial" w:cs="Arial"/>
          <w:color w:val="003043"/>
          <w:sz w:val="26"/>
          <w:szCs w:val="26"/>
        </w:rPr>
        <w:t>Why this organization and this mandate specifically, at this point in your career?</w:t>
      </w:r>
    </w:p>
    <w:p w14:paraId="3B8CF68B"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i/>
          <w:iCs/>
        </w:rPr>
        <w:t xml:space="preserve">What to listen for: </w:t>
      </w:r>
      <w:r>
        <w:rPr>
          <w:rFonts w:ascii="Arial" w:hAnsi="Arial" w:cs="Arial"/>
          <w:color w:val="003043"/>
          <w:sz w:val="26"/>
          <w:szCs w:val="26"/>
          <w:i/>
          <w:iCs/>
        </w:rPr>
        <w:t>Motivation that holds up against the specifics of the role (company stage, product class, CDMO vs proprietary) rather than generic ambition.</w:t>
      </w:r>
    </w:p>
    <w:p w14:paraId="29DB00CC" w14:textId="77777777" w:rsidR="007F42AD" w:rsidRPr="007B1B7E" w:rsidRDefault="009F6CAD" w:rsidP="006C64EC">
      <w:pPr>
        <w:rPr>
          <w:rFonts w:ascii="Arial" w:hAnsi="Arial" w:cs="Arial"/>
          <w:color w:val="003043"/>
          <w:sz w:val="26"/>
          <w:szCs w:val="26"/>
        </w:rPr>
      </w:pPr>
      <w:r>
        <w:rPr>
          <w:rFonts w:ascii="Arial" w:hAnsi="Arial" w:cs="Arial"/>
          <w:b/>
          <w:bCs/>
          <w:color w:val="003043"/>
          <w:sz w:val="26"/>
          <w:szCs w:val="26"/>
        </w:rPr>
        <w:t xml:space="preserve">Q24. </w:t>
      </w:r>
      <w:r>
        <w:rPr>
          <w:rFonts w:ascii="Arial" w:hAnsi="Arial" w:cs="Arial"/>
          <w:color w:val="003043"/>
          <w:sz w:val="26"/>
          <w:szCs w:val="26"/>
        </w:rPr>
        <w:t>What would you need from the CEO and the Board in your first six months to be effective, and what would you consider a realistic marker of success at the one-year mark?</w:t>
      </w:r>
    </w:p>
    <w:p w14:paraId="51BA64D4" w14:textId="77777777" w:rsidR="007F42AD" w:rsidRDefault="009F6CAD" w:rsidP="006C64EC">
      <w:pPr>
        <w:rPr>
          <w:rFonts w:ascii="Arial" w:hAnsi="Arial" w:cs="Arial"/>
          <w:color w:val="003043"/>
          <w:sz w:val="26"/>
          <w:szCs w:val="26"/>
          <w:i/>
          <w:iCs/>
        </w:rPr>
      </w:pPr>
      <w:r>
        <w:rPr>
          <w:rFonts w:ascii="Arial" w:hAnsi="Arial" w:cs="Arial"/>
          <w:b/>
          <w:bCs/>
          <w:color w:val="003043"/>
          <w:sz w:val="26"/>
          <w:szCs w:val="26"/>
          <w:i/>
          <w:iCs/>
        </w:rPr>
        <w:t xml:space="preserve">What to listen for: </w:t>
      </w:r>
      <w:r>
        <w:rPr>
          <w:rFonts w:ascii="Arial" w:hAnsi="Arial" w:cs="Arial"/>
          <w:color w:val="003043"/>
          <w:sz w:val="26"/>
          <w:szCs w:val="26"/>
          <w:i/>
          <w:iCs/>
        </w:rPr>
        <w:t>Specificity about resourcing, authority and access; a measurable, appropriately scoped definition of early success.</w:t>
      </w:r>
    </w:p>
    <w:p w14:paraId="61F400C5" w14:textId="77777777" w:rsidR="007B1B7E" w:rsidRPr="007B1B7E" w:rsidRDefault="007B1B7E" w:rsidP="006C64EC">
      <w:pPr>
        <w:rPr>
          <w:rFonts w:ascii="Arial" w:hAnsi="Arial" w:cs="Arial"/>
          <w:color w:val="003043"/>
          <w:sz w:val="26"/>
          <w:szCs w:val="26"/>
        </w:rPr>
      </w:pPr>
    </w:p>
    <w:p w14:paraId="76BB073B" w14:textId="77777777" w:rsidR="007F42AD" w:rsidRPr="00437808" w:rsidRDefault="009F6CAD" w:rsidP="006C64EC">
      <w:pPr>
        <w:pStyle w:val="Heading1"/>
        <w:rPr>
          <w:rFonts w:ascii="Arial" w:hAnsi="Arial" w:cs="Arial"/>
          <w:b/>
          <w:bCs/>
          <w:color w:val="003043"/>
          <w:sz w:val="32"/>
          <w:szCs w:val="32"/>
        </w:rPr>
      </w:pPr>
      <w:r>
        <w:rPr>
          <w:rFonts w:ascii="Arial" w:hAnsi="Arial" w:cs="Arial"/>
          <w:b/>
          <w:bCs/>
          <w:color w:val="003043"/>
          <w:sz w:val="32"/>
          <w:szCs w:val="32"/>
        </w:rPr>
        <w:lastRenderedPageBreak/>
        <w:t>Closing questions for the candidate</w:t>
      </w:r>
    </w:p>
    <w:p w14:paraId="21B1412B" w14:textId="77777777" w:rsidR="00D4068B" w:rsidRPr="007B1B7E" w:rsidRDefault="00D4068B" w:rsidP="006C64EC">
      <w:pPr>
        <w:pStyle w:val="Heading1"/>
        <w:rPr>
          <w:rFonts w:ascii="Arial" w:hAnsi="Arial" w:cs="Arial"/>
          <w:color w:val="003043"/>
          <w:sz w:val="26"/>
          <w:szCs w:val="26"/>
        </w:rPr>
      </w:pPr>
    </w:p>
    <w:p w14:paraId="00116A0F" w14:textId="77777777" w:rsidR="007F42AD" w:rsidRDefault="009F6CAD" w:rsidP="006C64EC">
      <w:pPr>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67411943" w14:textId="77777777" w:rsidR="00D4068B" w:rsidRPr="00D4068B" w:rsidRDefault="00D4068B" w:rsidP="006C64EC">
      <w:pPr>
        <w:rPr>
          <w:rFonts w:ascii="Arial" w:hAnsi="Arial" w:cs="Arial"/>
          <w:color w:val="003043"/>
          <w:sz w:val="26"/>
          <w:szCs w:val="26"/>
        </w:rPr>
      </w:pPr>
    </w:p>
    <w:p w14:paraId="371E6C3C" w14:textId="77777777" w:rsidR="007F42AD" w:rsidRPr="00D4068B" w:rsidRDefault="009F6CAD" w:rsidP="006C64EC">
      <w:pPr>
        <w:pStyle w:val="ListParagraph"/>
        <w:numPr>
          <w:ilvl w:val="0"/>
          <w:numId w:val="2"/>
        </w:numPr>
        <w:rPr>
          <w:rFonts w:ascii="Arial" w:hAnsi="Arial" w:cs="Arial"/>
          <w:color w:val="003043"/>
          <w:sz w:val="26"/>
          <w:szCs w:val="26"/>
        </w:rPr>
      </w:pPr>
      <w:r>
        <w:rPr>
          <w:rFonts w:ascii="Arial" w:hAnsi="Arial" w:cs="Arial"/>
          <w:color w:val="003043"/>
          <w:sz w:val="26"/>
          <w:szCs w:val="26"/>
        </w:rPr>
        <w:t>The organization's current regulatory standing (inspection history, any open commitments) and quality culture.</w:t>
      </w:r>
    </w:p>
    <w:p w14:paraId="252B08C6" w14:textId="77777777" w:rsidR="007F42AD" w:rsidRPr="00D4068B" w:rsidRDefault="009F6CAD" w:rsidP="006C64EC">
      <w:pPr>
        <w:pStyle w:val="ListParagraph"/>
        <w:numPr>
          <w:ilvl w:val="0"/>
          <w:numId w:val="2"/>
        </w:numPr>
        <w:rPr>
          <w:rFonts w:ascii="Arial" w:hAnsi="Arial" w:cs="Arial"/>
          <w:color w:val="003043"/>
          <w:sz w:val="26"/>
          <w:szCs w:val="26"/>
        </w:rPr>
      </w:pPr>
      <w:r>
        <w:rPr>
          <w:rFonts w:ascii="Arial" w:hAnsi="Arial" w:cs="Arial"/>
          <w:color w:val="003043"/>
          <w:sz w:val="26"/>
          <w:szCs w:val="26"/>
        </w:rPr>
        <w:t>How medical, quality and manufacturing authority is actually distributed today, and where past friction has occurred.</w:t>
      </w:r>
    </w:p>
    <w:p w14:paraId="7EFC6646" w14:textId="77777777" w:rsidR="007F42AD" w:rsidRPr="00D4068B" w:rsidRDefault="009F6CAD" w:rsidP="006C64EC">
      <w:pPr>
        <w:pStyle w:val="ListParagraph"/>
        <w:numPr>
          <w:ilvl w:val="0"/>
          <w:numId w:val="2"/>
        </w:numPr>
        <w:rPr>
          <w:rFonts w:ascii="Arial" w:hAnsi="Arial" w:cs="Arial"/>
          <w:color w:val="003043"/>
          <w:sz w:val="26"/>
          <w:szCs w:val="26"/>
        </w:rPr>
      </w:pPr>
      <w:r>
        <w:rPr>
          <w:rFonts w:ascii="Arial" w:hAnsi="Arial" w:cs="Arial"/>
          <w:color w:val="003043"/>
          <w:sz w:val="26"/>
          <w:szCs w:val="26"/>
        </w:rPr>
        <w:t>The Board's risk appetite and how safety-versus-commercial tensions have historically been resolved at the top.</w:t>
      </w:r>
    </w:p>
    <w:p w14:paraId="33EC7D2C" w14:textId="77777777" w:rsidR="007F42AD" w:rsidRPr="00D4068B" w:rsidRDefault="009F6CAD" w:rsidP="006C64EC">
      <w:pPr>
        <w:pStyle w:val="ListParagraph"/>
        <w:numPr>
          <w:ilvl w:val="0"/>
          <w:numId w:val="2"/>
        </w:numPr>
        <w:rPr>
          <w:rFonts w:ascii="Arial" w:hAnsi="Arial" w:cs="Arial"/>
          <w:color w:val="003043"/>
          <w:sz w:val="26"/>
          <w:szCs w:val="26"/>
        </w:rPr>
      </w:pPr>
      <w:r>
        <w:rPr>
          <w:rFonts w:ascii="Arial" w:hAnsi="Arial" w:cs="Arial"/>
          <w:color w:val="003043"/>
          <w:sz w:val="26"/>
          <w:szCs w:val="26"/>
        </w:rPr>
        <w:t>Team composition, vacancies, and any recent turnover in the medical or quality organization.</w:t>
      </w:r>
    </w:p>
    <w:p w14:paraId="6A85B94A" w14:textId="77777777" w:rsidR="00ED392D" w:rsidRDefault="00ED392D" w:rsidP="006C64EC">
      <w:pPr>
        <w:rPr>
          <w:rFonts w:ascii="Arial" w:hAnsi="Arial" w:cs="Arial"/>
          <w:color w:val="003043"/>
          <w:sz w:val="26"/>
          <w:szCs w:val="26"/>
          <w:i/>
          <w:iCs/>
        </w:rPr>
      </w:pPr>
    </w:p>
    <w:p w14:paraId="7272B3E9" w14:textId="4909FC84" w:rsidR="007F42AD" w:rsidRPr="00ED392D" w:rsidRDefault="009F6CAD" w:rsidP="006C64EC">
      <w:pPr>
        <w:rPr>
          <w:rFonts w:ascii="Arial" w:hAnsi="Arial" w:cs="Arial"/>
          <w:color w:val="003043"/>
          <w:sz w:val="26"/>
          <w:szCs w:val="26"/>
        </w:rPr>
      </w:pPr>
      <w:r>
        <w:rPr>
          <w:rFonts w:ascii="Arial" w:hAnsi="Arial" w:cs="Arial"/>
          <w:b/>
          <w:bCs/>
          <w:color w:val="003043"/>
          <w:sz w:val="26"/>
          <w:szCs w:val="26"/>
          <w:i/>
          <w:iCs/>
        </w:rPr>
        <w:t>Note:</w:t>
      </w:r>
      <w:r>
        <w:rPr>
          <w:rFonts w:ascii="Arial" w:hAnsi="Arial" w:cs="Arial"/>
          <w:color w:val="003043"/>
          <w:sz w:val="26"/>
          <w:szCs w:val="26"/>
          <w:i/>
          <w:iCs/>
        </w:rPr>
        <w:t xml:space="preserve"> Tailor Sections 3 and 4 to reflect whether this site is CDMO or proprietary, biologics or small molecule, and drug or combination product.</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Chief Medical Officer?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7F42AD" w:rsidRPr="00ED392D">
      <w:headerReference w:type="default" r:id="rId10"/>
      <w:pgSz w:w="12240" w:h="15840"/>
      <w:pgMar w:top="1701"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158CD"/>
    <w:multiLevelType w:val="hybridMultilevel"/>
    <w:tmpl w:val="0F2686E8"/>
    <w:lvl w:ilvl="0" w:tplc="DA04534E">
      <w:start w:val="1"/>
      <w:numFmt w:val="bullet"/>
      <w:lvlText w:val="●"/>
      <w:lvlJc w:val="left"/>
      <w:pPr>
        <w:ind w:left="720" w:hanging="360"/>
      </w:pPr>
    </w:lvl>
    <w:lvl w:ilvl="1" w:tplc="5C1C2CC6">
      <w:start w:val="1"/>
      <w:numFmt w:val="bullet"/>
      <w:lvlText w:val="○"/>
      <w:lvlJc w:val="left"/>
      <w:pPr>
        <w:ind w:left="1440" w:hanging="360"/>
      </w:pPr>
    </w:lvl>
    <w:lvl w:ilvl="2" w:tplc="1F2C4698">
      <w:start w:val="1"/>
      <w:numFmt w:val="bullet"/>
      <w:lvlText w:val="■"/>
      <w:lvlJc w:val="left"/>
      <w:pPr>
        <w:ind w:left="2160" w:hanging="360"/>
      </w:pPr>
    </w:lvl>
    <w:lvl w:ilvl="3" w:tplc="A978F66A">
      <w:start w:val="1"/>
      <w:numFmt w:val="bullet"/>
      <w:lvlText w:val="●"/>
      <w:lvlJc w:val="left"/>
      <w:pPr>
        <w:ind w:left="2880" w:hanging="360"/>
      </w:pPr>
    </w:lvl>
    <w:lvl w:ilvl="4" w:tplc="F67A2696">
      <w:start w:val="1"/>
      <w:numFmt w:val="bullet"/>
      <w:lvlText w:val="○"/>
      <w:lvlJc w:val="left"/>
      <w:pPr>
        <w:ind w:left="3600" w:hanging="360"/>
      </w:pPr>
    </w:lvl>
    <w:lvl w:ilvl="5" w:tplc="BE38F1A0">
      <w:start w:val="1"/>
      <w:numFmt w:val="bullet"/>
      <w:lvlText w:val="■"/>
      <w:lvlJc w:val="left"/>
      <w:pPr>
        <w:ind w:left="4320" w:hanging="360"/>
      </w:pPr>
    </w:lvl>
    <w:lvl w:ilvl="6" w:tplc="32A8DC0E">
      <w:start w:val="1"/>
      <w:numFmt w:val="bullet"/>
      <w:lvlText w:val="●"/>
      <w:lvlJc w:val="left"/>
      <w:pPr>
        <w:ind w:left="5040" w:hanging="360"/>
      </w:pPr>
    </w:lvl>
    <w:lvl w:ilvl="7" w:tplc="A6C07EAA">
      <w:start w:val="1"/>
      <w:numFmt w:val="bullet"/>
      <w:lvlText w:val="●"/>
      <w:lvlJc w:val="left"/>
      <w:pPr>
        <w:ind w:left="5760" w:hanging="360"/>
      </w:pPr>
    </w:lvl>
    <w:lvl w:ilvl="8" w:tplc="C62AC20E">
      <w:start w:val="1"/>
      <w:numFmt w:val="bullet"/>
      <w:lvlText w:val="●"/>
      <w:lvlJc w:val="left"/>
      <w:pPr>
        <w:ind w:left="6480" w:hanging="360"/>
      </w:pPr>
    </w:lvl>
  </w:abstractNum>
  <w:abstractNum w:abstractNumId="1" w15:restartNumberingAfterBreak="0">
    <w:nsid w:val="71B27929"/>
    <w:multiLevelType w:val="hybridMultilevel"/>
    <w:tmpl w:val="F52A14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E782303"/>
    <w:multiLevelType w:val="hybridMultilevel"/>
    <w:tmpl w:val="B1D8261E"/>
    <w:lvl w:ilvl="0" w:tplc="A030F6A4">
      <w:start w:val="1"/>
      <w:numFmt w:val="bullet"/>
      <w:lvlText w:val="•"/>
      <w:lvlJc w:val="left"/>
      <w:pPr>
        <w:ind w:left="360" w:hanging="180"/>
      </w:pPr>
    </w:lvl>
    <w:lvl w:ilvl="1" w:tplc="8B06F17A">
      <w:numFmt w:val="decimal"/>
      <w:lvlText w:val=""/>
      <w:lvlJc w:val="left"/>
    </w:lvl>
    <w:lvl w:ilvl="2" w:tplc="650008F6">
      <w:numFmt w:val="decimal"/>
      <w:lvlText w:val=""/>
      <w:lvlJc w:val="left"/>
    </w:lvl>
    <w:lvl w:ilvl="3" w:tplc="45682884">
      <w:numFmt w:val="decimal"/>
      <w:lvlText w:val=""/>
      <w:lvlJc w:val="left"/>
    </w:lvl>
    <w:lvl w:ilvl="4" w:tplc="96AE1DDC">
      <w:numFmt w:val="decimal"/>
      <w:lvlText w:val=""/>
      <w:lvlJc w:val="left"/>
    </w:lvl>
    <w:lvl w:ilvl="5" w:tplc="E6CEECB8">
      <w:numFmt w:val="decimal"/>
      <w:lvlText w:val=""/>
      <w:lvlJc w:val="left"/>
    </w:lvl>
    <w:lvl w:ilvl="6" w:tplc="EFA082D8">
      <w:numFmt w:val="decimal"/>
      <w:lvlText w:val=""/>
      <w:lvlJc w:val="left"/>
    </w:lvl>
    <w:lvl w:ilvl="7" w:tplc="F6F0F0AA">
      <w:numFmt w:val="decimal"/>
      <w:lvlText w:val=""/>
      <w:lvlJc w:val="left"/>
    </w:lvl>
    <w:lvl w:ilvl="8" w:tplc="488A3BA0">
      <w:numFmt w:val="decimal"/>
      <w:lvlText w:val=""/>
      <w:lvlJc w:val="left"/>
    </w:lvl>
  </w:abstractNum>
  <w:num w:numId="1" w16cid:durableId="850415277">
    <w:abstractNumId w:val="0"/>
    <w:lvlOverride w:ilvl="0">
      <w:startOverride w:val="1"/>
    </w:lvlOverride>
  </w:num>
  <w:num w:numId="2" w16cid:durableId="1515920528">
    <w:abstractNumId w:val="2"/>
    <w:lvlOverride w:ilvl="0">
      <w:startOverride w:val="1"/>
    </w:lvlOverride>
  </w:num>
  <w:num w:numId="3" w16cid:durableId="676813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2AD"/>
    <w:rsid w:val="00027F68"/>
    <w:rsid w:val="00112ACF"/>
    <w:rsid w:val="00437808"/>
    <w:rsid w:val="00440C3E"/>
    <w:rsid w:val="004753F2"/>
    <w:rsid w:val="004F1E6C"/>
    <w:rsid w:val="006A59AB"/>
    <w:rsid w:val="006C64EC"/>
    <w:rsid w:val="006D3CB2"/>
    <w:rsid w:val="007B1B7E"/>
    <w:rsid w:val="007D1072"/>
    <w:rsid w:val="007F42AD"/>
    <w:rsid w:val="00803890"/>
    <w:rsid w:val="008A77F6"/>
    <w:rsid w:val="0092324B"/>
    <w:rsid w:val="009E5F1A"/>
    <w:rsid w:val="009F6CAD"/>
    <w:rsid w:val="00A76078"/>
    <w:rsid w:val="00AE3BD3"/>
    <w:rsid w:val="00B22614"/>
    <w:rsid w:val="00B41A79"/>
    <w:rsid w:val="00B974FC"/>
    <w:rsid w:val="00C46CDE"/>
    <w:rsid w:val="00CF3A63"/>
    <w:rsid w:val="00D37D4C"/>
    <w:rsid w:val="00D4068B"/>
    <w:rsid w:val="00D73C02"/>
    <w:rsid w:val="00E17059"/>
    <w:rsid w:val="00E260EC"/>
    <w:rsid w:val="00E7280C"/>
    <w:rsid w:val="00E95481"/>
    <w:rsid w:val="00ED392D"/>
    <w:rsid w:val="00F50572"/>
    <w:rsid w:val="00F70A4A"/>
    <w:rsid w:val="00F95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5CF6"/>
  <w15:docId w15:val="{E4ABB6CA-C9D4-4032-9DFC-1EF1F83C1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B4E058-E07B-4B45-BB87-339799E73EC8}">
  <ds:schemaRefs>
    <ds:schemaRef ds:uri="http://schemas.microsoft.com/office/2006/metadata/properties"/>
    <ds:schemaRef ds:uri="http://schemas.microsoft.com/office/infopath/2007/PartnerControls"/>
    <ds:schemaRef ds:uri="16b473c6-608d-4a57-bc22-ebcea5b0937f"/>
    <ds:schemaRef ds:uri="cda3a0a8-8e83-444e-9087-f5ae9c3ef504"/>
  </ds:schemaRefs>
</ds:datastoreItem>
</file>

<file path=customXml/itemProps2.xml><?xml version="1.0" encoding="utf-8"?>
<ds:datastoreItem xmlns:ds="http://schemas.openxmlformats.org/officeDocument/2006/customXml" ds:itemID="{954F7572-CAD4-490B-84C3-0BAA9656711F}">
  <ds:schemaRefs>
    <ds:schemaRef ds:uri="http://schemas.microsoft.com/sharepoint/v3/contenttype/forms"/>
  </ds:schemaRefs>
</ds:datastoreItem>
</file>

<file path=customXml/itemProps3.xml><?xml version="1.0" encoding="utf-8"?>
<ds:datastoreItem xmlns:ds="http://schemas.openxmlformats.org/officeDocument/2006/customXml" ds:itemID="{11CEFAF2-9131-43FB-BB08-BE5312A92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473c6-608d-4a57-bc22-ebcea5b0937f"/>
    <ds:schemaRef ds:uri="cda3a0a8-8e83-444e-9087-f5ae9c3ef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1528</Words>
  <Characters>8714</Characters>
  <Application>Microsoft Office Word</Application>
  <DocSecurity>0</DocSecurity>
  <Lines>72</Lines>
  <Paragraphs>20</Paragraphs>
  <ScaleCrop>false</ScaleCrop>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Karen Chapman</cp:lastModifiedBy>
  <cp:revision>30</cp:revision>
  <dcterms:created xsi:type="dcterms:W3CDTF">2026-08-18T14:58:00Z</dcterms:created>
  <dcterms:modified xsi:type="dcterms:W3CDTF">2026-09-04T09:07:00Z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y fmtid="{D5CDD505-2E9C-101B-9397-08002B2CF9AE}" pid="3" name="MediaServiceImageTags">
    <vt:lpwstr/>
  </property>
</Properties>
</file>